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7CAA5" w14:textId="77777777" w:rsidR="00437784" w:rsidRPr="00E03664" w:rsidRDefault="00437784" w:rsidP="00437784">
      <w:pPr>
        <w:widowControl w:val="0"/>
        <w:suppressAutoHyphens w:val="0"/>
        <w:autoSpaceDE w:val="0"/>
        <w:autoSpaceDN w:val="0"/>
        <w:ind w:left="5103"/>
        <w:rPr>
          <w:sz w:val="24"/>
          <w:szCs w:val="24"/>
          <w:lang w:eastAsia="ru-RU"/>
        </w:rPr>
      </w:pPr>
      <w:r w:rsidRPr="00E03664">
        <w:rPr>
          <w:sz w:val="24"/>
          <w:szCs w:val="24"/>
          <w:lang w:eastAsia="ru-RU"/>
        </w:rPr>
        <w:t xml:space="preserve">Приложение № 6 к Распоряжению Контрольно-счетного органа муниципального образования Змеиногорский район Алтайского края </w:t>
      </w:r>
    </w:p>
    <w:p w14:paraId="3745C59A" w14:textId="77777777" w:rsidR="00437784" w:rsidRPr="00E03664" w:rsidRDefault="00437784" w:rsidP="00437784">
      <w:pPr>
        <w:ind w:left="5103"/>
        <w:jc w:val="both"/>
        <w:textAlignment w:val="baseline"/>
        <w:rPr>
          <w:sz w:val="24"/>
          <w:szCs w:val="24"/>
          <w:lang w:eastAsia="ru-RU"/>
        </w:rPr>
      </w:pPr>
      <w:r w:rsidRPr="00E03664">
        <w:rPr>
          <w:sz w:val="24"/>
          <w:szCs w:val="24"/>
          <w:lang w:eastAsia="ru-RU"/>
        </w:rPr>
        <w:t>от 15 декабря 2023 №90</w:t>
      </w:r>
    </w:p>
    <w:p w14:paraId="0ABA7E7D" w14:textId="77777777" w:rsidR="00437784" w:rsidRPr="00E03664" w:rsidRDefault="00437784" w:rsidP="00437784">
      <w:pPr>
        <w:tabs>
          <w:tab w:val="left" w:pos="709"/>
        </w:tabs>
        <w:jc w:val="center"/>
        <w:rPr>
          <w:b/>
          <w:sz w:val="28"/>
          <w:szCs w:val="28"/>
        </w:rPr>
      </w:pPr>
    </w:p>
    <w:p w14:paraId="2F9342AD" w14:textId="77777777" w:rsidR="00437784" w:rsidRPr="00E03664" w:rsidRDefault="00437784" w:rsidP="00437784">
      <w:pPr>
        <w:tabs>
          <w:tab w:val="left" w:pos="709"/>
        </w:tabs>
        <w:jc w:val="center"/>
        <w:rPr>
          <w:b/>
          <w:sz w:val="28"/>
          <w:szCs w:val="28"/>
        </w:rPr>
      </w:pPr>
    </w:p>
    <w:p w14:paraId="3F71A257" w14:textId="77777777" w:rsidR="00437784" w:rsidRPr="00E03664" w:rsidRDefault="00437784" w:rsidP="00437784">
      <w:pPr>
        <w:ind w:left="6" w:hanging="6"/>
        <w:contextualSpacing/>
        <w:jc w:val="center"/>
        <w:rPr>
          <w:b/>
          <w:sz w:val="28"/>
          <w:szCs w:val="28"/>
        </w:rPr>
      </w:pPr>
      <w:r w:rsidRPr="00E03664">
        <w:rPr>
          <w:b/>
          <w:sz w:val="28"/>
          <w:szCs w:val="28"/>
        </w:rPr>
        <w:t>КОНТРОЛЬНО-СЧЕТНЫЙ ОРГАН</w:t>
      </w:r>
    </w:p>
    <w:p w14:paraId="056DC5FD" w14:textId="77777777" w:rsidR="00437784" w:rsidRPr="00E03664" w:rsidRDefault="00437784" w:rsidP="00437784">
      <w:pPr>
        <w:ind w:left="6" w:hanging="6"/>
        <w:contextualSpacing/>
        <w:jc w:val="center"/>
        <w:rPr>
          <w:b/>
          <w:sz w:val="28"/>
          <w:szCs w:val="28"/>
        </w:rPr>
      </w:pPr>
      <w:r w:rsidRPr="00E03664">
        <w:rPr>
          <w:b/>
          <w:sz w:val="28"/>
          <w:szCs w:val="28"/>
        </w:rPr>
        <w:t>МУНИЦИПАЛЬНОГО ОБРАЗОВАНИЯ</w:t>
      </w:r>
    </w:p>
    <w:p w14:paraId="5F514157" w14:textId="77777777" w:rsidR="00437784" w:rsidRPr="00E03664" w:rsidRDefault="00437784" w:rsidP="00437784">
      <w:pPr>
        <w:ind w:left="6" w:hanging="6"/>
        <w:contextualSpacing/>
        <w:jc w:val="center"/>
        <w:rPr>
          <w:rFonts w:eastAsia="Calibri"/>
          <w:sz w:val="28"/>
          <w:szCs w:val="28"/>
        </w:rPr>
      </w:pPr>
      <w:r w:rsidRPr="00E03664">
        <w:rPr>
          <w:b/>
          <w:sz w:val="28"/>
          <w:szCs w:val="28"/>
        </w:rPr>
        <w:t>ЗМЕИНОГОРСКИЙ РАЙОН АЛТАЙСКОГО КРАЯ</w:t>
      </w:r>
    </w:p>
    <w:p w14:paraId="4B449CEB" w14:textId="77777777" w:rsidR="00437784" w:rsidRPr="00E03664" w:rsidRDefault="00437784" w:rsidP="00437784">
      <w:pPr>
        <w:ind w:left="6" w:hanging="6"/>
        <w:contextualSpacing/>
        <w:jc w:val="right"/>
        <w:rPr>
          <w:rFonts w:eastAsia="Calibri"/>
          <w:sz w:val="28"/>
          <w:szCs w:val="28"/>
        </w:rPr>
      </w:pPr>
    </w:p>
    <w:p w14:paraId="2244B5F2" w14:textId="77777777" w:rsidR="00437784" w:rsidRPr="00E03664" w:rsidRDefault="00437784" w:rsidP="00437784">
      <w:pPr>
        <w:ind w:left="6" w:hanging="6"/>
        <w:contextualSpacing/>
        <w:jc w:val="right"/>
        <w:rPr>
          <w:rFonts w:eastAsia="Calibri"/>
          <w:sz w:val="28"/>
          <w:szCs w:val="28"/>
        </w:rPr>
      </w:pPr>
    </w:p>
    <w:p w14:paraId="4104BED5" w14:textId="77777777" w:rsidR="00437784" w:rsidRPr="00E03664" w:rsidRDefault="00437784" w:rsidP="00437784">
      <w:pPr>
        <w:ind w:left="6" w:hanging="6"/>
        <w:contextualSpacing/>
        <w:jc w:val="right"/>
        <w:rPr>
          <w:rFonts w:eastAsia="Calibri"/>
          <w:sz w:val="28"/>
          <w:szCs w:val="28"/>
        </w:rPr>
      </w:pPr>
    </w:p>
    <w:p w14:paraId="6E19DAE0" w14:textId="77777777" w:rsidR="00437784" w:rsidRPr="00E03664" w:rsidRDefault="00437784" w:rsidP="00437784">
      <w:pPr>
        <w:ind w:left="-284"/>
        <w:jc w:val="center"/>
        <w:rPr>
          <w:rFonts w:eastAsia="Calibri"/>
          <w:b/>
          <w:sz w:val="28"/>
          <w:szCs w:val="28"/>
        </w:rPr>
      </w:pPr>
    </w:p>
    <w:p w14:paraId="70EEB9FC" w14:textId="77777777" w:rsidR="00437784" w:rsidRPr="00E03664" w:rsidRDefault="00437784" w:rsidP="00437784">
      <w:pPr>
        <w:ind w:left="-284"/>
        <w:jc w:val="center"/>
        <w:rPr>
          <w:rFonts w:eastAsia="Calibri"/>
          <w:b/>
          <w:sz w:val="28"/>
          <w:szCs w:val="28"/>
        </w:rPr>
      </w:pPr>
      <w:r w:rsidRPr="00E03664">
        <w:rPr>
          <w:rFonts w:eastAsia="Calibri"/>
          <w:b/>
          <w:sz w:val="28"/>
          <w:szCs w:val="28"/>
        </w:rPr>
        <w:t>СТАНДАРТ ВНЕШНЕГО МУНИЦИПАЛЬНОГО ФИНАНСОВОГО КОНТРОЛЯ</w:t>
      </w:r>
    </w:p>
    <w:p w14:paraId="1161E712" w14:textId="77777777" w:rsidR="00437784" w:rsidRPr="00E03664" w:rsidRDefault="00437784" w:rsidP="00437784">
      <w:pPr>
        <w:jc w:val="center"/>
        <w:rPr>
          <w:rFonts w:eastAsia="Calibri"/>
          <w:b/>
          <w:sz w:val="28"/>
          <w:szCs w:val="28"/>
        </w:rPr>
      </w:pPr>
    </w:p>
    <w:p w14:paraId="73EA4E04" w14:textId="77777777" w:rsidR="00437784" w:rsidRPr="00E03664" w:rsidRDefault="00437784" w:rsidP="00437784">
      <w:pPr>
        <w:jc w:val="center"/>
        <w:rPr>
          <w:rFonts w:eastAsia="Calibri"/>
          <w:b/>
          <w:sz w:val="28"/>
          <w:szCs w:val="28"/>
        </w:rPr>
      </w:pPr>
    </w:p>
    <w:p w14:paraId="7EBFDD4B" w14:textId="77777777" w:rsidR="00437784" w:rsidRPr="00E03664" w:rsidRDefault="00437784" w:rsidP="00437784">
      <w:pPr>
        <w:jc w:val="center"/>
        <w:rPr>
          <w:rFonts w:eastAsia="Calibri"/>
          <w:b/>
          <w:sz w:val="28"/>
          <w:szCs w:val="28"/>
        </w:rPr>
      </w:pPr>
    </w:p>
    <w:p w14:paraId="2199918A" w14:textId="77777777" w:rsidR="00437784" w:rsidRPr="00E03664" w:rsidRDefault="00437784" w:rsidP="00437784">
      <w:pPr>
        <w:jc w:val="center"/>
        <w:rPr>
          <w:rFonts w:eastAsia="Calibri"/>
          <w:b/>
          <w:sz w:val="28"/>
          <w:szCs w:val="28"/>
        </w:rPr>
      </w:pPr>
    </w:p>
    <w:p w14:paraId="1B712863" w14:textId="77777777" w:rsidR="00437784" w:rsidRPr="00E03664" w:rsidRDefault="00437784" w:rsidP="00437784">
      <w:pPr>
        <w:jc w:val="center"/>
        <w:rPr>
          <w:rFonts w:eastAsia="Calibri"/>
          <w:b/>
          <w:sz w:val="28"/>
          <w:szCs w:val="28"/>
        </w:rPr>
      </w:pPr>
      <w:r w:rsidRPr="00E03664">
        <w:rPr>
          <w:rFonts w:eastAsia="Calibri"/>
          <w:b/>
          <w:sz w:val="28"/>
          <w:szCs w:val="28"/>
        </w:rPr>
        <w:t>СВМФК 16</w:t>
      </w:r>
    </w:p>
    <w:p w14:paraId="5F271BDB" w14:textId="77777777" w:rsidR="00437784" w:rsidRPr="00E03664" w:rsidRDefault="00437784" w:rsidP="00437784">
      <w:pPr>
        <w:tabs>
          <w:tab w:val="left" w:pos="1134"/>
        </w:tabs>
        <w:suppressAutoHyphens w:val="0"/>
        <w:jc w:val="center"/>
        <w:rPr>
          <w:b/>
          <w:sz w:val="28"/>
          <w:szCs w:val="28"/>
        </w:rPr>
      </w:pPr>
    </w:p>
    <w:p w14:paraId="7A647BBE" w14:textId="77777777" w:rsidR="00437784" w:rsidRPr="00E03664" w:rsidRDefault="00437784" w:rsidP="00437784">
      <w:pPr>
        <w:widowControl w:val="0"/>
        <w:suppressAutoHyphens w:val="0"/>
        <w:ind w:left="20"/>
        <w:jc w:val="center"/>
        <w:rPr>
          <w:rFonts w:eastAsia="Calibri"/>
          <w:b/>
          <w:bCs/>
          <w:sz w:val="28"/>
          <w:szCs w:val="28"/>
          <w:lang w:eastAsia="en-US"/>
        </w:rPr>
      </w:pPr>
      <w:r w:rsidRPr="00E03664">
        <w:rPr>
          <w:rFonts w:eastAsia="Calibri"/>
          <w:b/>
          <w:bCs/>
          <w:sz w:val="28"/>
          <w:szCs w:val="28"/>
          <w:lang w:eastAsia="en-US"/>
        </w:rPr>
        <w:t>«ПОРЯДОК ОРГАНИЗАЦИИ И ПРОВЕДЕНИЯ СОВМЕСТНЫХ ИЛИ ПАРАЛЛЕЛЬНЫХ КОНТРОЛЬНЫХ И ЭКСПЕРТНО-АНАЛИТИЧЕСКИХ МЕРОПРИЯТИЙ СО СЧЕТНОЙ ПАЛАТОЙ АЛТАЙСКОГО КРАЯ, С КОНТРОЛЬНО-СЧЕТНЫМИ ОРГАНАМИ МУНИЦИПАЛЬНЫХ ОБРАЗОВАНИЙ АЛТАЙСКОГО КРАЯ»</w:t>
      </w:r>
    </w:p>
    <w:p w14:paraId="7BEC2A65" w14:textId="77777777" w:rsidR="00437784" w:rsidRPr="00E03664" w:rsidRDefault="00437784" w:rsidP="00437784">
      <w:pPr>
        <w:tabs>
          <w:tab w:val="left" w:pos="1134"/>
        </w:tabs>
        <w:suppressAutoHyphens w:val="0"/>
        <w:jc w:val="center"/>
        <w:rPr>
          <w:b/>
          <w:sz w:val="26"/>
          <w:szCs w:val="26"/>
        </w:rPr>
      </w:pPr>
    </w:p>
    <w:p w14:paraId="2E2366FE" w14:textId="77777777" w:rsidR="00437784" w:rsidRPr="00E03664" w:rsidRDefault="00437784" w:rsidP="00437784">
      <w:pPr>
        <w:tabs>
          <w:tab w:val="left" w:pos="1134"/>
        </w:tabs>
        <w:ind w:firstLine="567"/>
        <w:rPr>
          <w:sz w:val="28"/>
          <w:szCs w:val="28"/>
        </w:rPr>
      </w:pPr>
    </w:p>
    <w:p w14:paraId="1F32F352" w14:textId="77777777" w:rsidR="00437784" w:rsidRPr="00E03664" w:rsidRDefault="00437784" w:rsidP="00437784">
      <w:pPr>
        <w:tabs>
          <w:tab w:val="left" w:pos="1134"/>
        </w:tabs>
        <w:ind w:firstLine="567"/>
        <w:jc w:val="center"/>
        <w:rPr>
          <w:sz w:val="28"/>
          <w:szCs w:val="28"/>
        </w:rPr>
      </w:pPr>
    </w:p>
    <w:p w14:paraId="00AD4A7D" w14:textId="77777777" w:rsidR="00437784" w:rsidRPr="00E03664" w:rsidRDefault="00437784" w:rsidP="00437784">
      <w:pPr>
        <w:tabs>
          <w:tab w:val="left" w:pos="1134"/>
        </w:tabs>
        <w:ind w:firstLine="567"/>
        <w:jc w:val="center"/>
        <w:rPr>
          <w:sz w:val="28"/>
          <w:szCs w:val="28"/>
        </w:rPr>
      </w:pPr>
    </w:p>
    <w:p w14:paraId="130F4BA5" w14:textId="77777777" w:rsidR="00437784" w:rsidRPr="00E03664" w:rsidRDefault="00437784" w:rsidP="00437784">
      <w:pPr>
        <w:tabs>
          <w:tab w:val="left" w:pos="1134"/>
        </w:tabs>
        <w:ind w:firstLine="567"/>
        <w:jc w:val="center"/>
        <w:rPr>
          <w:sz w:val="28"/>
          <w:szCs w:val="28"/>
        </w:rPr>
      </w:pPr>
    </w:p>
    <w:p w14:paraId="4CD5AF31" w14:textId="77777777" w:rsidR="00437784" w:rsidRPr="00E03664" w:rsidRDefault="00437784" w:rsidP="00437784">
      <w:pPr>
        <w:tabs>
          <w:tab w:val="left" w:pos="1134"/>
        </w:tabs>
        <w:ind w:firstLine="567"/>
        <w:jc w:val="center"/>
        <w:rPr>
          <w:sz w:val="28"/>
          <w:szCs w:val="28"/>
        </w:rPr>
      </w:pPr>
    </w:p>
    <w:p w14:paraId="3CAEBD43" w14:textId="77777777" w:rsidR="00437784" w:rsidRPr="00E03664" w:rsidRDefault="00437784" w:rsidP="00437784">
      <w:pPr>
        <w:tabs>
          <w:tab w:val="left" w:pos="1134"/>
        </w:tabs>
        <w:ind w:firstLine="567"/>
        <w:jc w:val="center"/>
        <w:rPr>
          <w:sz w:val="28"/>
          <w:szCs w:val="28"/>
        </w:rPr>
      </w:pPr>
    </w:p>
    <w:p w14:paraId="169F7607" w14:textId="77777777" w:rsidR="00437784" w:rsidRPr="00E03664" w:rsidRDefault="00437784" w:rsidP="00437784">
      <w:pPr>
        <w:tabs>
          <w:tab w:val="left" w:pos="1134"/>
        </w:tabs>
        <w:ind w:firstLine="567"/>
        <w:jc w:val="center"/>
        <w:rPr>
          <w:sz w:val="28"/>
          <w:szCs w:val="28"/>
        </w:rPr>
      </w:pPr>
    </w:p>
    <w:p w14:paraId="7E7FB757" w14:textId="77777777" w:rsidR="00437784" w:rsidRPr="00E03664" w:rsidRDefault="00437784" w:rsidP="00437784">
      <w:pPr>
        <w:ind w:left="6" w:hanging="6"/>
        <w:contextualSpacing/>
        <w:jc w:val="center"/>
        <w:rPr>
          <w:rFonts w:eastAsia="Calibri"/>
          <w:sz w:val="24"/>
          <w:szCs w:val="24"/>
        </w:rPr>
      </w:pPr>
      <w:r w:rsidRPr="00E03664">
        <w:rPr>
          <w:rFonts w:eastAsia="Calibri"/>
          <w:sz w:val="24"/>
          <w:szCs w:val="24"/>
        </w:rPr>
        <w:t>(утвержден распоряжением Контрольно-счетного органа муниципального образования</w:t>
      </w:r>
    </w:p>
    <w:p w14:paraId="04A98BC8" w14:textId="77777777" w:rsidR="00437784" w:rsidRPr="00E03664" w:rsidRDefault="00437784" w:rsidP="00437784">
      <w:pPr>
        <w:ind w:left="6" w:hanging="6"/>
        <w:contextualSpacing/>
        <w:jc w:val="center"/>
        <w:rPr>
          <w:rFonts w:eastAsia="Calibri"/>
          <w:sz w:val="24"/>
          <w:szCs w:val="24"/>
        </w:rPr>
      </w:pPr>
      <w:r w:rsidRPr="00E03664">
        <w:rPr>
          <w:rFonts w:eastAsia="Calibri"/>
          <w:sz w:val="24"/>
          <w:szCs w:val="24"/>
        </w:rPr>
        <w:t>Змеиногорский район Алтайского края от «15» декабря 2023 года № 90)</w:t>
      </w:r>
    </w:p>
    <w:p w14:paraId="77641ED7" w14:textId="77777777" w:rsidR="00437784" w:rsidRPr="00E03664" w:rsidRDefault="00437784" w:rsidP="00437784">
      <w:pPr>
        <w:jc w:val="right"/>
        <w:rPr>
          <w:rFonts w:eastAsia="Calibri"/>
          <w:sz w:val="24"/>
          <w:szCs w:val="24"/>
        </w:rPr>
      </w:pPr>
    </w:p>
    <w:p w14:paraId="57001E3B" w14:textId="77777777" w:rsidR="00437784" w:rsidRPr="00E03664" w:rsidRDefault="00437784" w:rsidP="00437784">
      <w:pPr>
        <w:jc w:val="right"/>
        <w:rPr>
          <w:rFonts w:eastAsia="Calibri"/>
          <w:sz w:val="28"/>
          <w:szCs w:val="28"/>
        </w:rPr>
      </w:pPr>
      <w:r w:rsidRPr="00E03664">
        <w:rPr>
          <w:rFonts w:eastAsia="Calibri"/>
          <w:sz w:val="28"/>
          <w:szCs w:val="28"/>
        </w:rPr>
        <w:t>Дата начала</w:t>
      </w:r>
    </w:p>
    <w:p w14:paraId="3A94AEA7" w14:textId="77777777" w:rsidR="00437784" w:rsidRPr="00E03664" w:rsidRDefault="00437784" w:rsidP="00437784">
      <w:pPr>
        <w:jc w:val="right"/>
        <w:rPr>
          <w:rFonts w:eastAsia="Calibri"/>
          <w:sz w:val="28"/>
          <w:szCs w:val="28"/>
        </w:rPr>
      </w:pPr>
      <w:r w:rsidRPr="00E03664">
        <w:rPr>
          <w:rFonts w:eastAsia="Calibri"/>
          <w:sz w:val="28"/>
          <w:szCs w:val="28"/>
        </w:rPr>
        <w:t xml:space="preserve"> действия 15 декабря 2023 года</w:t>
      </w:r>
    </w:p>
    <w:p w14:paraId="74FD01C0" w14:textId="77777777" w:rsidR="00437784" w:rsidRPr="00E03664" w:rsidRDefault="00437784" w:rsidP="00437784">
      <w:pPr>
        <w:jc w:val="center"/>
        <w:rPr>
          <w:rFonts w:eastAsia="Calibri"/>
          <w:sz w:val="28"/>
          <w:szCs w:val="28"/>
        </w:rPr>
      </w:pPr>
    </w:p>
    <w:p w14:paraId="29390EB9" w14:textId="77777777" w:rsidR="00437784" w:rsidRPr="00E03664" w:rsidRDefault="00437784" w:rsidP="00437784">
      <w:pPr>
        <w:jc w:val="center"/>
        <w:rPr>
          <w:rFonts w:eastAsia="Calibri"/>
          <w:sz w:val="28"/>
          <w:szCs w:val="28"/>
        </w:rPr>
      </w:pPr>
    </w:p>
    <w:p w14:paraId="0CF69F4F" w14:textId="77777777" w:rsidR="00437784" w:rsidRPr="00E03664" w:rsidRDefault="00437784" w:rsidP="00437784">
      <w:pPr>
        <w:jc w:val="center"/>
        <w:rPr>
          <w:rFonts w:eastAsia="Calibri"/>
          <w:sz w:val="28"/>
          <w:szCs w:val="28"/>
        </w:rPr>
      </w:pPr>
    </w:p>
    <w:p w14:paraId="6C4A53D7" w14:textId="77777777" w:rsidR="00437784" w:rsidRPr="00E03664" w:rsidRDefault="00437784" w:rsidP="00437784">
      <w:pPr>
        <w:jc w:val="center"/>
        <w:rPr>
          <w:rFonts w:eastAsia="Calibri"/>
          <w:sz w:val="28"/>
          <w:szCs w:val="28"/>
        </w:rPr>
      </w:pPr>
    </w:p>
    <w:p w14:paraId="7A7F5D82" w14:textId="77777777" w:rsidR="00437784" w:rsidRPr="00E03664" w:rsidRDefault="00437784" w:rsidP="00437784">
      <w:pPr>
        <w:jc w:val="center"/>
        <w:rPr>
          <w:sz w:val="28"/>
          <w:szCs w:val="28"/>
        </w:rPr>
      </w:pPr>
      <w:r w:rsidRPr="00E03664">
        <w:rPr>
          <w:rFonts w:eastAsia="Calibri"/>
          <w:sz w:val="28"/>
          <w:szCs w:val="28"/>
        </w:rPr>
        <w:t>2023 год</w:t>
      </w:r>
    </w:p>
    <w:p w14:paraId="03332E8E" w14:textId="77777777" w:rsidR="00437784" w:rsidRPr="00E03664" w:rsidRDefault="00437784" w:rsidP="00437784">
      <w:r w:rsidRPr="00E03664">
        <w:br w:type="page"/>
      </w:r>
    </w:p>
    <w:p w14:paraId="5D8DA778" w14:textId="77777777" w:rsidR="00437784" w:rsidRPr="00E03664" w:rsidRDefault="00437784" w:rsidP="00437784"/>
    <w:p w14:paraId="1E5E950B" w14:textId="77777777" w:rsidR="00437784" w:rsidRPr="00E03664" w:rsidRDefault="00437784" w:rsidP="00437784">
      <w:pPr>
        <w:widowControl w:val="0"/>
        <w:suppressAutoHyphens w:val="0"/>
        <w:spacing w:after="335" w:line="310" w:lineRule="exact"/>
        <w:ind w:right="40"/>
        <w:jc w:val="center"/>
        <w:rPr>
          <w:b/>
          <w:bCs/>
          <w:sz w:val="28"/>
          <w:szCs w:val="28"/>
          <w:lang w:eastAsia="ru-RU"/>
        </w:rPr>
      </w:pPr>
      <w:r w:rsidRPr="00E03664">
        <w:rPr>
          <w:b/>
          <w:bCs/>
          <w:sz w:val="28"/>
          <w:szCs w:val="28"/>
          <w:lang w:eastAsia="ru-RU"/>
        </w:rPr>
        <w:t>СОДЕРЖАНИЕ</w:t>
      </w:r>
    </w:p>
    <w:tbl>
      <w:tblPr>
        <w:tblW w:w="0" w:type="auto"/>
        <w:tblLook w:val="04A0" w:firstRow="1" w:lastRow="0" w:firstColumn="1" w:lastColumn="0" w:noHBand="0" w:noVBand="1"/>
      </w:tblPr>
      <w:tblGrid>
        <w:gridCol w:w="651"/>
        <w:gridCol w:w="7916"/>
        <w:gridCol w:w="788"/>
      </w:tblGrid>
      <w:tr w:rsidR="00E03664" w:rsidRPr="00E03664" w14:paraId="31D35B0B" w14:textId="77777777" w:rsidTr="007C7F0B">
        <w:tc>
          <w:tcPr>
            <w:tcW w:w="651" w:type="dxa"/>
          </w:tcPr>
          <w:p w14:paraId="2D888770" w14:textId="77777777" w:rsidR="00437784" w:rsidRPr="00E03664" w:rsidRDefault="00437784" w:rsidP="007C7F0B">
            <w:pPr>
              <w:widowControl w:val="0"/>
              <w:tabs>
                <w:tab w:val="left" w:pos="382"/>
                <w:tab w:val="left" w:pos="709"/>
                <w:tab w:val="right" w:leader="dot" w:pos="9594"/>
              </w:tabs>
              <w:suppressAutoHyphens w:val="0"/>
              <w:spacing w:line="317" w:lineRule="exact"/>
              <w:jc w:val="both"/>
              <w:rPr>
                <w:sz w:val="28"/>
                <w:szCs w:val="28"/>
                <w:lang w:eastAsia="ru-RU"/>
              </w:rPr>
            </w:pPr>
            <w:r w:rsidRPr="00E03664">
              <w:rPr>
                <w:sz w:val="28"/>
                <w:szCs w:val="28"/>
                <w:lang w:eastAsia="ru-RU"/>
              </w:rPr>
              <w:t>1</w:t>
            </w:r>
          </w:p>
        </w:tc>
        <w:tc>
          <w:tcPr>
            <w:tcW w:w="7916" w:type="dxa"/>
          </w:tcPr>
          <w:p w14:paraId="69C08F41" w14:textId="77777777" w:rsidR="00437784" w:rsidRPr="00E03664" w:rsidRDefault="00437784" w:rsidP="007C7F0B">
            <w:pPr>
              <w:widowControl w:val="0"/>
              <w:tabs>
                <w:tab w:val="left" w:pos="382"/>
                <w:tab w:val="left" w:pos="709"/>
                <w:tab w:val="right" w:leader="dot" w:pos="9594"/>
              </w:tabs>
              <w:suppressAutoHyphens w:val="0"/>
              <w:spacing w:line="317" w:lineRule="exact"/>
              <w:jc w:val="both"/>
              <w:rPr>
                <w:sz w:val="28"/>
                <w:szCs w:val="28"/>
                <w:lang w:eastAsia="ru-RU"/>
              </w:rPr>
            </w:pPr>
            <w:r w:rsidRPr="00E03664">
              <w:rPr>
                <w:sz w:val="28"/>
                <w:szCs w:val="28"/>
                <w:lang w:eastAsia="ru-RU"/>
              </w:rPr>
              <w:t>Общие положения</w:t>
            </w:r>
          </w:p>
        </w:tc>
        <w:tc>
          <w:tcPr>
            <w:tcW w:w="788" w:type="dxa"/>
          </w:tcPr>
          <w:p w14:paraId="1B4499F7" w14:textId="77777777" w:rsidR="00437784" w:rsidRPr="00E03664" w:rsidRDefault="00437784" w:rsidP="007C7F0B">
            <w:pPr>
              <w:widowControl w:val="0"/>
              <w:tabs>
                <w:tab w:val="left" w:pos="382"/>
                <w:tab w:val="left" w:pos="709"/>
                <w:tab w:val="right" w:leader="dot" w:pos="9594"/>
              </w:tabs>
              <w:suppressAutoHyphens w:val="0"/>
              <w:spacing w:line="317" w:lineRule="exact"/>
              <w:jc w:val="both"/>
              <w:rPr>
                <w:sz w:val="28"/>
                <w:szCs w:val="28"/>
                <w:lang w:eastAsia="ru-RU"/>
              </w:rPr>
            </w:pPr>
            <w:r w:rsidRPr="00E03664">
              <w:rPr>
                <w:sz w:val="28"/>
                <w:szCs w:val="28"/>
                <w:lang w:eastAsia="ru-RU"/>
              </w:rPr>
              <w:t>3</w:t>
            </w:r>
          </w:p>
        </w:tc>
      </w:tr>
      <w:tr w:rsidR="00E03664" w:rsidRPr="00E03664" w14:paraId="0B056C08" w14:textId="77777777" w:rsidTr="007C7F0B">
        <w:tc>
          <w:tcPr>
            <w:tcW w:w="651" w:type="dxa"/>
          </w:tcPr>
          <w:p w14:paraId="14588552" w14:textId="77777777" w:rsidR="00437784" w:rsidRPr="00E03664" w:rsidRDefault="00437784" w:rsidP="007C7F0B">
            <w:pPr>
              <w:widowControl w:val="0"/>
              <w:tabs>
                <w:tab w:val="left" w:pos="382"/>
                <w:tab w:val="left" w:pos="709"/>
                <w:tab w:val="right" w:leader="dot" w:pos="9594"/>
              </w:tabs>
              <w:suppressAutoHyphens w:val="0"/>
              <w:spacing w:line="317" w:lineRule="exact"/>
              <w:jc w:val="both"/>
              <w:rPr>
                <w:sz w:val="28"/>
                <w:szCs w:val="28"/>
                <w:lang w:eastAsia="ru-RU"/>
              </w:rPr>
            </w:pPr>
            <w:r w:rsidRPr="00E03664">
              <w:rPr>
                <w:sz w:val="28"/>
                <w:szCs w:val="28"/>
                <w:lang w:eastAsia="ru-RU"/>
              </w:rPr>
              <w:t>2</w:t>
            </w:r>
          </w:p>
        </w:tc>
        <w:tc>
          <w:tcPr>
            <w:tcW w:w="7916" w:type="dxa"/>
          </w:tcPr>
          <w:p w14:paraId="22FF69D7" w14:textId="77777777" w:rsidR="00437784" w:rsidRPr="00E03664" w:rsidRDefault="00437784" w:rsidP="007C7F0B">
            <w:pPr>
              <w:widowControl w:val="0"/>
              <w:tabs>
                <w:tab w:val="left" w:pos="382"/>
                <w:tab w:val="left" w:pos="709"/>
                <w:tab w:val="right" w:leader="dot" w:pos="9594"/>
              </w:tabs>
              <w:suppressAutoHyphens w:val="0"/>
              <w:jc w:val="both"/>
              <w:rPr>
                <w:sz w:val="28"/>
                <w:szCs w:val="28"/>
                <w:lang w:eastAsia="ru-RU"/>
              </w:rPr>
            </w:pPr>
            <w:r w:rsidRPr="00E03664">
              <w:rPr>
                <w:sz w:val="28"/>
                <w:szCs w:val="28"/>
              </w:rPr>
              <w:t>Содержание совместных или параллельных контрольных и экспертно-аналитических мероприятий</w:t>
            </w:r>
          </w:p>
        </w:tc>
        <w:tc>
          <w:tcPr>
            <w:tcW w:w="788" w:type="dxa"/>
          </w:tcPr>
          <w:p w14:paraId="3B8C28C9" w14:textId="77777777" w:rsidR="00437784" w:rsidRPr="00E03664" w:rsidRDefault="00437784" w:rsidP="007C7F0B">
            <w:pPr>
              <w:widowControl w:val="0"/>
              <w:tabs>
                <w:tab w:val="left" w:pos="382"/>
                <w:tab w:val="left" w:pos="709"/>
                <w:tab w:val="right" w:leader="dot" w:pos="9594"/>
              </w:tabs>
              <w:suppressAutoHyphens w:val="0"/>
              <w:spacing w:line="317" w:lineRule="exact"/>
              <w:jc w:val="both"/>
              <w:rPr>
                <w:sz w:val="28"/>
                <w:szCs w:val="28"/>
                <w:lang w:eastAsia="ru-RU"/>
              </w:rPr>
            </w:pPr>
            <w:r w:rsidRPr="00E03664">
              <w:rPr>
                <w:sz w:val="28"/>
                <w:szCs w:val="28"/>
                <w:lang w:eastAsia="ru-RU"/>
              </w:rPr>
              <w:t>4</w:t>
            </w:r>
          </w:p>
        </w:tc>
      </w:tr>
      <w:tr w:rsidR="00E03664" w:rsidRPr="00E03664" w14:paraId="4D8125BA" w14:textId="77777777" w:rsidTr="007C7F0B">
        <w:tc>
          <w:tcPr>
            <w:tcW w:w="651" w:type="dxa"/>
          </w:tcPr>
          <w:p w14:paraId="6A0E2D8B" w14:textId="77777777" w:rsidR="00437784" w:rsidRPr="00E03664" w:rsidRDefault="00437784" w:rsidP="007C7F0B">
            <w:pPr>
              <w:widowControl w:val="0"/>
              <w:tabs>
                <w:tab w:val="left" w:pos="382"/>
                <w:tab w:val="left" w:pos="709"/>
                <w:tab w:val="right" w:leader="dot" w:pos="9594"/>
              </w:tabs>
              <w:suppressAutoHyphens w:val="0"/>
              <w:spacing w:line="317" w:lineRule="exact"/>
              <w:jc w:val="both"/>
              <w:rPr>
                <w:sz w:val="28"/>
                <w:szCs w:val="28"/>
                <w:lang w:eastAsia="ru-RU"/>
              </w:rPr>
            </w:pPr>
            <w:r w:rsidRPr="00E03664">
              <w:rPr>
                <w:sz w:val="28"/>
                <w:szCs w:val="28"/>
                <w:lang w:eastAsia="ru-RU"/>
              </w:rPr>
              <w:t>3</w:t>
            </w:r>
          </w:p>
        </w:tc>
        <w:tc>
          <w:tcPr>
            <w:tcW w:w="7916" w:type="dxa"/>
          </w:tcPr>
          <w:p w14:paraId="3CF62801" w14:textId="77777777" w:rsidR="00437784" w:rsidRPr="00E03664" w:rsidRDefault="00437784" w:rsidP="007C7F0B">
            <w:pPr>
              <w:widowControl w:val="0"/>
              <w:tabs>
                <w:tab w:val="left" w:pos="382"/>
                <w:tab w:val="left" w:pos="709"/>
                <w:tab w:val="right" w:leader="dot" w:pos="9594"/>
              </w:tabs>
              <w:suppressAutoHyphens w:val="0"/>
              <w:jc w:val="both"/>
              <w:rPr>
                <w:sz w:val="28"/>
                <w:szCs w:val="28"/>
                <w:lang w:eastAsia="ru-RU"/>
              </w:rPr>
            </w:pPr>
            <w:r w:rsidRPr="00E03664">
              <w:rPr>
                <w:sz w:val="28"/>
                <w:szCs w:val="28"/>
              </w:rPr>
              <w:t>Планирование совместных или параллельных контрольных и экспертно-аналитических мероприятий</w:t>
            </w:r>
          </w:p>
        </w:tc>
        <w:tc>
          <w:tcPr>
            <w:tcW w:w="788" w:type="dxa"/>
          </w:tcPr>
          <w:p w14:paraId="4A698787" w14:textId="77777777" w:rsidR="00437784" w:rsidRPr="00E03664" w:rsidRDefault="00437784" w:rsidP="007C7F0B">
            <w:pPr>
              <w:widowControl w:val="0"/>
              <w:tabs>
                <w:tab w:val="left" w:pos="382"/>
                <w:tab w:val="left" w:pos="709"/>
                <w:tab w:val="right" w:leader="dot" w:pos="9594"/>
              </w:tabs>
              <w:suppressAutoHyphens w:val="0"/>
              <w:spacing w:line="317" w:lineRule="exact"/>
              <w:jc w:val="both"/>
              <w:rPr>
                <w:sz w:val="28"/>
                <w:szCs w:val="28"/>
                <w:lang w:eastAsia="ru-RU"/>
              </w:rPr>
            </w:pPr>
            <w:r w:rsidRPr="00E03664">
              <w:rPr>
                <w:sz w:val="28"/>
                <w:szCs w:val="28"/>
                <w:lang w:eastAsia="ru-RU"/>
              </w:rPr>
              <w:t>4</w:t>
            </w:r>
          </w:p>
        </w:tc>
      </w:tr>
      <w:tr w:rsidR="00E03664" w:rsidRPr="00E03664" w14:paraId="7CD7C2DB" w14:textId="77777777" w:rsidTr="007C7F0B">
        <w:tc>
          <w:tcPr>
            <w:tcW w:w="651" w:type="dxa"/>
          </w:tcPr>
          <w:p w14:paraId="6E9128AF" w14:textId="77777777" w:rsidR="00437784" w:rsidRPr="00E03664" w:rsidRDefault="00437784" w:rsidP="007C7F0B">
            <w:pPr>
              <w:widowControl w:val="0"/>
              <w:tabs>
                <w:tab w:val="left" w:pos="382"/>
                <w:tab w:val="left" w:pos="709"/>
                <w:tab w:val="right" w:leader="dot" w:pos="9594"/>
              </w:tabs>
              <w:suppressAutoHyphens w:val="0"/>
              <w:spacing w:line="317" w:lineRule="exact"/>
              <w:jc w:val="both"/>
              <w:rPr>
                <w:sz w:val="28"/>
                <w:szCs w:val="28"/>
                <w:lang w:eastAsia="ru-RU"/>
              </w:rPr>
            </w:pPr>
            <w:r w:rsidRPr="00E03664">
              <w:rPr>
                <w:sz w:val="28"/>
                <w:szCs w:val="28"/>
                <w:lang w:eastAsia="ru-RU"/>
              </w:rPr>
              <w:t>4</w:t>
            </w:r>
          </w:p>
        </w:tc>
        <w:tc>
          <w:tcPr>
            <w:tcW w:w="7916" w:type="dxa"/>
          </w:tcPr>
          <w:p w14:paraId="51D2B2CA" w14:textId="1A815EE5" w:rsidR="00437784" w:rsidRPr="00E03664" w:rsidRDefault="00437784" w:rsidP="007C7F0B">
            <w:pPr>
              <w:widowControl w:val="0"/>
              <w:tabs>
                <w:tab w:val="left" w:pos="382"/>
                <w:tab w:val="left" w:pos="709"/>
                <w:tab w:val="right" w:leader="dot" w:pos="9594"/>
              </w:tabs>
              <w:suppressAutoHyphens w:val="0"/>
              <w:jc w:val="both"/>
              <w:rPr>
                <w:sz w:val="28"/>
                <w:szCs w:val="28"/>
                <w:lang w:eastAsia="ru-RU"/>
              </w:rPr>
            </w:pPr>
            <w:r w:rsidRPr="00E03664">
              <w:rPr>
                <w:sz w:val="28"/>
                <w:szCs w:val="28"/>
              </w:rPr>
              <w:t>Подготовка и рассмотрение обращений о проведении внеплановых совместных или параллельных контрольных и экспертно</w:t>
            </w:r>
            <w:r w:rsidR="00903F6A" w:rsidRPr="00E03664">
              <w:rPr>
                <w:sz w:val="28"/>
                <w:szCs w:val="28"/>
              </w:rPr>
              <w:t>-</w:t>
            </w:r>
            <w:r w:rsidRPr="00E03664">
              <w:rPr>
                <w:sz w:val="28"/>
                <w:szCs w:val="28"/>
              </w:rPr>
              <w:t>аналитических мероприятий</w:t>
            </w:r>
          </w:p>
        </w:tc>
        <w:tc>
          <w:tcPr>
            <w:tcW w:w="788" w:type="dxa"/>
          </w:tcPr>
          <w:p w14:paraId="1B21DAE8" w14:textId="77777777" w:rsidR="00437784" w:rsidRPr="00E03664" w:rsidRDefault="00437784" w:rsidP="007C7F0B">
            <w:pPr>
              <w:widowControl w:val="0"/>
              <w:tabs>
                <w:tab w:val="left" w:pos="382"/>
                <w:tab w:val="left" w:pos="709"/>
                <w:tab w:val="right" w:leader="dot" w:pos="9594"/>
              </w:tabs>
              <w:suppressAutoHyphens w:val="0"/>
              <w:spacing w:line="317" w:lineRule="exact"/>
              <w:jc w:val="both"/>
              <w:rPr>
                <w:sz w:val="28"/>
                <w:szCs w:val="28"/>
                <w:lang w:eastAsia="ru-RU"/>
              </w:rPr>
            </w:pPr>
            <w:r w:rsidRPr="00E03664">
              <w:rPr>
                <w:sz w:val="28"/>
                <w:szCs w:val="28"/>
                <w:lang w:eastAsia="ru-RU"/>
              </w:rPr>
              <w:t>6</w:t>
            </w:r>
          </w:p>
        </w:tc>
      </w:tr>
      <w:tr w:rsidR="00E03664" w:rsidRPr="00E03664" w14:paraId="35B61275" w14:textId="77777777" w:rsidTr="007C7F0B">
        <w:tc>
          <w:tcPr>
            <w:tcW w:w="651" w:type="dxa"/>
          </w:tcPr>
          <w:p w14:paraId="7C5B3DD2" w14:textId="77777777" w:rsidR="00437784" w:rsidRPr="00E03664" w:rsidRDefault="00437784" w:rsidP="007C7F0B">
            <w:pPr>
              <w:widowControl w:val="0"/>
              <w:tabs>
                <w:tab w:val="left" w:pos="382"/>
                <w:tab w:val="left" w:pos="709"/>
                <w:tab w:val="right" w:leader="dot" w:pos="9594"/>
              </w:tabs>
              <w:suppressAutoHyphens w:val="0"/>
              <w:spacing w:line="317" w:lineRule="exact"/>
              <w:jc w:val="both"/>
              <w:rPr>
                <w:sz w:val="28"/>
                <w:szCs w:val="28"/>
                <w:lang w:eastAsia="ru-RU"/>
              </w:rPr>
            </w:pPr>
            <w:r w:rsidRPr="00E03664">
              <w:rPr>
                <w:sz w:val="28"/>
                <w:szCs w:val="28"/>
                <w:lang w:eastAsia="ru-RU"/>
              </w:rPr>
              <w:t>5</w:t>
            </w:r>
          </w:p>
        </w:tc>
        <w:tc>
          <w:tcPr>
            <w:tcW w:w="7916" w:type="dxa"/>
          </w:tcPr>
          <w:p w14:paraId="535FA1A4" w14:textId="77777777" w:rsidR="00437784" w:rsidRPr="00E03664" w:rsidRDefault="00437784" w:rsidP="007C7F0B">
            <w:pPr>
              <w:widowControl w:val="0"/>
              <w:tabs>
                <w:tab w:val="left" w:pos="382"/>
                <w:tab w:val="left" w:pos="709"/>
                <w:tab w:val="right" w:leader="dot" w:pos="9594"/>
              </w:tabs>
              <w:suppressAutoHyphens w:val="0"/>
              <w:jc w:val="both"/>
              <w:rPr>
                <w:sz w:val="28"/>
                <w:szCs w:val="28"/>
                <w:lang w:eastAsia="ru-RU"/>
              </w:rPr>
            </w:pPr>
            <w:r w:rsidRPr="00E03664">
              <w:rPr>
                <w:sz w:val="28"/>
                <w:szCs w:val="28"/>
              </w:rPr>
              <w:t>Подготовка и подписание Решения о проведении совместного или параллельного контрольного и экспертно-аналитического мероприятия, программы проведения совместного или параллельного контрольного и экспертно-аналитического мероприятия</w:t>
            </w:r>
          </w:p>
        </w:tc>
        <w:tc>
          <w:tcPr>
            <w:tcW w:w="788" w:type="dxa"/>
          </w:tcPr>
          <w:p w14:paraId="16C8F044" w14:textId="79A19D14" w:rsidR="00437784" w:rsidRPr="00E03664" w:rsidRDefault="00362530" w:rsidP="007C7F0B">
            <w:pPr>
              <w:widowControl w:val="0"/>
              <w:tabs>
                <w:tab w:val="left" w:pos="382"/>
                <w:tab w:val="left" w:pos="709"/>
                <w:tab w:val="right" w:leader="dot" w:pos="9594"/>
              </w:tabs>
              <w:suppressAutoHyphens w:val="0"/>
              <w:spacing w:line="317" w:lineRule="exact"/>
              <w:jc w:val="both"/>
              <w:rPr>
                <w:sz w:val="28"/>
                <w:szCs w:val="28"/>
                <w:lang w:eastAsia="ru-RU"/>
              </w:rPr>
            </w:pPr>
            <w:r w:rsidRPr="00E03664">
              <w:rPr>
                <w:sz w:val="28"/>
                <w:szCs w:val="28"/>
                <w:lang w:eastAsia="ru-RU"/>
              </w:rPr>
              <w:t>7</w:t>
            </w:r>
          </w:p>
        </w:tc>
      </w:tr>
      <w:tr w:rsidR="00E03664" w:rsidRPr="00E03664" w14:paraId="1065F0D8" w14:textId="77777777" w:rsidTr="007C7F0B">
        <w:tc>
          <w:tcPr>
            <w:tcW w:w="651" w:type="dxa"/>
          </w:tcPr>
          <w:p w14:paraId="24EEDD5C" w14:textId="77777777" w:rsidR="00437784" w:rsidRPr="00E03664" w:rsidRDefault="00437784" w:rsidP="007C7F0B">
            <w:pPr>
              <w:widowControl w:val="0"/>
              <w:tabs>
                <w:tab w:val="left" w:pos="382"/>
                <w:tab w:val="left" w:pos="709"/>
                <w:tab w:val="right" w:leader="dot" w:pos="9594"/>
              </w:tabs>
              <w:suppressAutoHyphens w:val="0"/>
              <w:spacing w:line="317" w:lineRule="exact"/>
              <w:jc w:val="both"/>
              <w:rPr>
                <w:sz w:val="28"/>
                <w:szCs w:val="28"/>
                <w:lang w:eastAsia="ru-RU"/>
              </w:rPr>
            </w:pPr>
            <w:r w:rsidRPr="00E03664">
              <w:rPr>
                <w:sz w:val="28"/>
                <w:szCs w:val="28"/>
                <w:lang w:eastAsia="ru-RU"/>
              </w:rPr>
              <w:t>6</w:t>
            </w:r>
          </w:p>
        </w:tc>
        <w:tc>
          <w:tcPr>
            <w:tcW w:w="7916" w:type="dxa"/>
          </w:tcPr>
          <w:p w14:paraId="7AAED781" w14:textId="77777777" w:rsidR="00437784" w:rsidRPr="00E03664" w:rsidRDefault="00437784" w:rsidP="007C7F0B">
            <w:pPr>
              <w:widowControl w:val="0"/>
              <w:tabs>
                <w:tab w:val="left" w:pos="382"/>
                <w:tab w:val="left" w:pos="709"/>
                <w:tab w:val="right" w:leader="dot" w:pos="9594"/>
              </w:tabs>
              <w:suppressAutoHyphens w:val="0"/>
              <w:jc w:val="both"/>
              <w:rPr>
                <w:sz w:val="28"/>
                <w:szCs w:val="28"/>
                <w:lang w:eastAsia="ru-RU"/>
              </w:rPr>
            </w:pPr>
            <w:r w:rsidRPr="00E03664">
              <w:rPr>
                <w:sz w:val="28"/>
                <w:szCs w:val="28"/>
              </w:rPr>
              <w:t>Оформление поручений на право проведения совместных или параллельных контрольных и экспертно-аналитических мероприятий</w:t>
            </w:r>
          </w:p>
        </w:tc>
        <w:tc>
          <w:tcPr>
            <w:tcW w:w="788" w:type="dxa"/>
          </w:tcPr>
          <w:p w14:paraId="208E5BD6" w14:textId="77777777" w:rsidR="00437784" w:rsidRPr="00E03664" w:rsidRDefault="00437784" w:rsidP="007C7F0B">
            <w:pPr>
              <w:widowControl w:val="0"/>
              <w:tabs>
                <w:tab w:val="left" w:pos="382"/>
                <w:tab w:val="left" w:pos="709"/>
                <w:tab w:val="right" w:leader="dot" w:pos="9594"/>
              </w:tabs>
              <w:suppressAutoHyphens w:val="0"/>
              <w:spacing w:line="317" w:lineRule="exact"/>
              <w:jc w:val="both"/>
              <w:rPr>
                <w:sz w:val="28"/>
                <w:szCs w:val="28"/>
                <w:lang w:eastAsia="ru-RU"/>
              </w:rPr>
            </w:pPr>
            <w:r w:rsidRPr="00E03664">
              <w:rPr>
                <w:sz w:val="28"/>
                <w:szCs w:val="28"/>
                <w:lang w:eastAsia="ru-RU"/>
              </w:rPr>
              <w:t>8</w:t>
            </w:r>
          </w:p>
        </w:tc>
      </w:tr>
      <w:tr w:rsidR="00E03664" w:rsidRPr="00E03664" w14:paraId="42DA7760" w14:textId="77777777" w:rsidTr="007C7F0B">
        <w:tc>
          <w:tcPr>
            <w:tcW w:w="651" w:type="dxa"/>
          </w:tcPr>
          <w:p w14:paraId="31D5489D" w14:textId="77777777" w:rsidR="00437784" w:rsidRPr="00E03664" w:rsidRDefault="00437784" w:rsidP="007C7F0B">
            <w:pPr>
              <w:widowControl w:val="0"/>
              <w:tabs>
                <w:tab w:val="left" w:pos="382"/>
                <w:tab w:val="left" w:pos="709"/>
                <w:tab w:val="right" w:leader="dot" w:pos="9594"/>
              </w:tabs>
              <w:suppressAutoHyphens w:val="0"/>
              <w:spacing w:line="317" w:lineRule="exact"/>
              <w:jc w:val="both"/>
              <w:rPr>
                <w:sz w:val="28"/>
                <w:szCs w:val="28"/>
                <w:lang w:eastAsia="ru-RU"/>
              </w:rPr>
            </w:pPr>
            <w:r w:rsidRPr="00E03664">
              <w:rPr>
                <w:sz w:val="28"/>
                <w:szCs w:val="28"/>
                <w:lang w:eastAsia="ru-RU"/>
              </w:rPr>
              <w:t>7</w:t>
            </w:r>
          </w:p>
        </w:tc>
        <w:tc>
          <w:tcPr>
            <w:tcW w:w="7916" w:type="dxa"/>
          </w:tcPr>
          <w:p w14:paraId="5E4F8713" w14:textId="77777777" w:rsidR="00437784" w:rsidRPr="00E03664" w:rsidRDefault="00437784" w:rsidP="007C7F0B">
            <w:pPr>
              <w:widowControl w:val="0"/>
              <w:tabs>
                <w:tab w:val="left" w:pos="382"/>
                <w:tab w:val="left" w:pos="709"/>
                <w:tab w:val="right" w:leader="dot" w:pos="9594"/>
              </w:tabs>
              <w:suppressAutoHyphens w:val="0"/>
              <w:jc w:val="both"/>
              <w:rPr>
                <w:sz w:val="28"/>
                <w:szCs w:val="28"/>
                <w:lang w:eastAsia="ru-RU"/>
              </w:rPr>
            </w:pPr>
            <w:r w:rsidRPr="00E03664">
              <w:rPr>
                <w:sz w:val="28"/>
                <w:szCs w:val="28"/>
              </w:rPr>
              <w:t>Проведение совместных или параллельных контрольных и экспертно-аналитических мероприятий</w:t>
            </w:r>
          </w:p>
        </w:tc>
        <w:tc>
          <w:tcPr>
            <w:tcW w:w="788" w:type="dxa"/>
          </w:tcPr>
          <w:p w14:paraId="2BFDCE27" w14:textId="77777777" w:rsidR="00437784" w:rsidRPr="00E03664" w:rsidRDefault="00437784" w:rsidP="007C7F0B">
            <w:pPr>
              <w:widowControl w:val="0"/>
              <w:tabs>
                <w:tab w:val="left" w:pos="382"/>
                <w:tab w:val="left" w:pos="709"/>
                <w:tab w:val="right" w:leader="dot" w:pos="9594"/>
              </w:tabs>
              <w:suppressAutoHyphens w:val="0"/>
              <w:spacing w:line="317" w:lineRule="exact"/>
              <w:jc w:val="both"/>
              <w:rPr>
                <w:sz w:val="28"/>
                <w:szCs w:val="28"/>
                <w:lang w:eastAsia="ru-RU"/>
              </w:rPr>
            </w:pPr>
            <w:r w:rsidRPr="00E03664">
              <w:rPr>
                <w:sz w:val="28"/>
                <w:szCs w:val="28"/>
                <w:lang w:eastAsia="ru-RU"/>
              </w:rPr>
              <w:t>8</w:t>
            </w:r>
          </w:p>
        </w:tc>
      </w:tr>
      <w:tr w:rsidR="00E03664" w:rsidRPr="00E03664" w14:paraId="133B626B" w14:textId="77777777" w:rsidTr="007C7F0B">
        <w:tc>
          <w:tcPr>
            <w:tcW w:w="651" w:type="dxa"/>
          </w:tcPr>
          <w:p w14:paraId="5222631C" w14:textId="77777777" w:rsidR="00437784" w:rsidRPr="00E03664" w:rsidRDefault="00437784" w:rsidP="007C7F0B">
            <w:pPr>
              <w:widowControl w:val="0"/>
              <w:tabs>
                <w:tab w:val="left" w:pos="382"/>
                <w:tab w:val="left" w:pos="709"/>
                <w:tab w:val="right" w:leader="dot" w:pos="9594"/>
              </w:tabs>
              <w:suppressAutoHyphens w:val="0"/>
              <w:spacing w:line="317" w:lineRule="exact"/>
              <w:jc w:val="both"/>
              <w:rPr>
                <w:sz w:val="28"/>
                <w:szCs w:val="28"/>
                <w:lang w:eastAsia="ru-RU"/>
              </w:rPr>
            </w:pPr>
            <w:r w:rsidRPr="00E03664">
              <w:rPr>
                <w:sz w:val="28"/>
                <w:szCs w:val="28"/>
                <w:lang w:eastAsia="ru-RU"/>
              </w:rPr>
              <w:t>8</w:t>
            </w:r>
          </w:p>
        </w:tc>
        <w:tc>
          <w:tcPr>
            <w:tcW w:w="7916" w:type="dxa"/>
          </w:tcPr>
          <w:p w14:paraId="0C40FCB8" w14:textId="77777777" w:rsidR="00437784" w:rsidRPr="00E03664" w:rsidRDefault="00437784" w:rsidP="007C7F0B">
            <w:pPr>
              <w:widowControl w:val="0"/>
              <w:tabs>
                <w:tab w:val="left" w:pos="382"/>
                <w:tab w:val="left" w:pos="709"/>
                <w:tab w:val="right" w:leader="dot" w:pos="9594"/>
              </w:tabs>
              <w:suppressAutoHyphens w:val="0"/>
              <w:jc w:val="both"/>
              <w:rPr>
                <w:sz w:val="28"/>
                <w:szCs w:val="28"/>
                <w:lang w:eastAsia="ru-RU"/>
              </w:rPr>
            </w:pPr>
            <w:r w:rsidRPr="00E03664">
              <w:rPr>
                <w:sz w:val="28"/>
                <w:szCs w:val="28"/>
              </w:rPr>
              <w:t>Оформление результатов совместных или параллельных контрольных и экспертно-аналитических мероприятий</w:t>
            </w:r>
          </w:p>
        </w:tc>
        <w:tc>
          <w:tcPr>
            <w:tcW w:w="788" w:type="dxa"/>
          </w:tcPr>
          <w:p w14:paraId="342BE6A0" w14:textId="42B57F6E" w:rsidR="00437784" w:rsidRPr="00E03664" w:rsidRDefault="00362530" w:rsidP="007C7F0B">
            <w:pPr>
              <w:widowControl w:val="0"/>
              <w:tabs>
                <w:tab w:val="left" w:pos="382"/>
                <w:tab w:val="left" w:pos="709"/>
                <w:tab w:val="right" w:leader="dot" w:pos="9594"/>
              </w:tabs>
              <w:suppressAutoHyphens w:val="0"/>
              <w:spacing w:line="317" w:lineRule="exact"/>
              <w:jc w:val="both"/>
              <w:rPr>
                <w:sz w:val="28"/>
                <w:szCs w:val="28"/>
                <w:lang w:eastAsia="ru-RU"/>
              </w:rPr>
            </w:pPr>
            <w:r w:rsidRPr="00E03664">
              <w:rPr>
                <w:sz w:val="28"/>
                <w:szCs w:val="28"/>
                <w:lang w:eastAsia="ru-RU"/>
              </w:rPr>
              <w:t>9</w:t>
            </w:r>
          </w:p>
        </w:tc>
      </w:tr>
    </w:tbl>
    <w:p w14:paraId="683B51A0" w14:textId="77777777" w:rsidR="00437784" w:rsidRPr="00E03664" w:rsidRDefault="00437784" w:rsidP="00437784">
      <w:pPr>
        <w:widowControl w:val="0"/>
        <w:suppressAutoHyphens w:val="0"/>
        <w:spacing w:line="360" w:lineRule="auto"/>
        <w:ind w:right="40"/>
        <w:jc w:val="both"/>
        <w:rPr>
          <w:b/>
          <w:bCs/>
          <w:sz w:val="28"/>
          <w:szCs w:val="28"/>
          <w:lang w:eastAsia="ru-RU"/>
        </w:rPr>
      </w:pPr>
    </w:p>
    <w:p w14:paraId="46B74E27" w14:textId="77777777" w:rsidR="00437784" w:rsidRPr="00E03664" w:rsidRDefault="00437784" w:rsidP="00437784">
      <w:pPr>
        <w:suppressAutoHyphens w:val="0"/>
        <w:jc w:val="center"/>
        <w:rPr>
          <w:b/>
          <w:bCs/>
          <w:sz w:val="28"/>
          <w:szCs w:val="28"/>
          <w:lang w:eastAsia="ru-RU"/>
        </w:rPr>
      </w:pPr>
      <w:r w:rsidRPr="00E03664">
        <w:rPr>
          <w:b/>
          <w:bCs/>
          <w:sz w:val="28"/>
          <w:szCs w:val="28"/>
          <w:lang w:val="x-none" w:eastAsia="ru-RU"/>
        </w:rPr>
        <w:br w:type="page"/>
      </w:r>
      <w:r w:rsidRPr="00E03664">
        <w:rPr>
          <w:b/>
          <w:bCs/>
          <w:sz w:val="28"/>
          <w:szCs w:val="28"/>
          <w:lang w:eastAsia="ru-RU"/>
        </w:rPr>
        <w:lastRenderedPageBreak/>
        <w:t>1. Общие положения</w:t>
      </w:r>
    </w:p>
    <w:p w14:paraId="013DFEA5" w14:textId="77777777" w:rsidR="00437784" w:rsidRPr="00E03664" w:rsidRDefault="00437784" w:rsidP="00437784">
      <w:pPr>
        <w:ind w:firstLine="709"/>
        <w:contextualSpacing/>
        <w:jc w:val="both"/>
        <w:rPr>
          <w:sz w:val="28"/>
          <w:szCs w:val="28"/>
        </w:rPr>
      </w:pPr>
      <w:r w:rsidRPr="00E03664">
        <w:rPr>
          <w:sz w:val="28"/>
          <w:szCs w:val="28"/>
          <w:lang w:eastAsia="ru-RU"/>
        </w:rPr>
        <w:t>1.1. Стандарт внешнего государственного финансового контроля «Порядок организации и проведения совместных или параллельных контрольных и экспертно-аналитических мероприятий со Счетной палатой Алтайского края, с контрольно-счетными органами муниципальных образований Алтайского края» (далее –«Стандарт») разработан в соответствии с требованиями Федерального закона от 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 нормами закона Алтайского края от 10 октября 2011 года № 123-ЗС «О Счетной палате Алтайского края», Регламентом Счетной палаты Алтайского края, Положением о Контрольно-счетном органе муниципального образования Змеиногорский район Алтайского края и Регламентом Контрольно-счетного органа муниципального образования Змеиногорский район Алтайского края, стандартом внешнего государственного финансового контроля Счетной палаты Алтайского края СВГФК 096 «Порядок организации и проведения Счетной палатой Алтайского края совместных или параллельных контрольных и экспертно-аналитических мероприятий с контрольно-счетными органами муниципальных образований Алтайского края».</w:t>
      </w:r>
    </w:p>
    <w:p w14:paraId="425EB690" w14:textId="77777777" w:rsidR="00437784" w:rsidRPr="00E03664" w:rsidRDefault="00437784" w:rsidP="00437784">
      <w:pPr>
        <w:ind w:firstLine="709"/>
        <w:contextualSpacing/>
        <w:jc w:val="both"/>
        <w:rPr>
          <w:sz w:val="28"/>
          <w:szCs w:val="28"/>
          <w:lang w:eastAsia="ru-RU"/>
        </w:rPr>
      </w:pPr>
      <w:r w:rsidRPr="00E03664">
        <w:rPr>
          <w:sz w:val="28"/>
          <w:szCs w:val="28"/>
          <w:lang w:eastAsia="ru-RU"/>
        </w:rPr>
        <w:t>1.2. Настоящий Стандарт определяет порядок планирования, подготовки, проведения и оформления результатов совместных или параллельных контрольных и экспертно-аналитических мероприятий Контрольно-счетного органа муниципального образования Змеиногорский район Алтайского края.</w:t>
      </w:r>
    </w:p>
    <w:p w14:paraId="468E9C1D" w14:textId="77777777" w:rsidR="00437784" w:rsidRPr="00E03664" w:rsidRDefault="00437784" w:rsidP="00437784">
      <w:pPr>
        <w:ind w:firstLine="709"/>
        <w:contextualSpacing/>
        <w:jc w:val="both"/>
        <w:rPr>
          <w:sz w:val="28"/>
          <w:szCs w:val="28"/>
          <w:lang w:eastAsia="ru-RU"/>
        </w:rPr>
      </w:pPr>
      <w:r w:rsidRPr="00E03664">
        <w:rPr>
          <w:sz w:val="28"/>
          <w:szCs w:val="28"/>
          <w:lang w:eastAsia="ru-RU"/>
        </w:rPr>
        <w:t>1.3. Целью Стандарта является регламентация деятельности Счетной палаты Алтайского края (</w:t>
      </w:r>
      <w:r w:rsidRPr="00E03664">
        <w:rPr>
          <w:sz w:val="28"/>
          <w:szCs w:val="28"/>
        </w:rPr>
        <w:t>далее – «Счетная палата»</w:t>
      </w:r>
      <w:r w:rsidRPr="00E03664">
        <w:rPr>
          <w:sz w:val="28"/>
          <w:szCs w:val="28"/>
          <w:lang w:eastAsia="ru-RU"/>
        </w:rPr>
        <w:t xml:space="preserve">) по организации и проведению совместных или параллельных контрольных и экспертно-аналитических мероприятий с </w:t>
      </w:r>
      <w:r w:rsidRPr="00E03664">
        <w:rPr>
          <w:sz w:val="28"/>
          <w:szCs w:val="28"/>
        </w:rPr>
        <w:t xml:space="preserve">контрольно-счетными органами муниципальных образований Алтайского края (далее – «КСО МО»), в том числе </w:t>
      </w:r>
      <w:r w:rsidRPr="00E03664">
        <w:rPr>
          <w:sz w:val="28"/>
          <w:szCs w:val="28"/>
          <w:lang w:eastAsia="ru-RU"/>
        </w:rPr>
        <w:t>с Контрольно-счетным органом муниципального образования Змеиногорский район Алтайского края (далее- «Контрольно-счетный орган»).</w:t>
      </w:r>
    </w:p>
    <w:p w14:paraId="6807D5C1" w14:textId="77777777" w:rsidR="00437784" w:rsidRPr="00E03664" w:rsidRDefault="00437784" w:rsidP="00437784">
      <w:pPr>
        <w:ind w:firstLine="709"/>
        <w:contextualSpacing/>
        <w:jc w:val="both"/>
        <w:rPr>
          <w:sz w:val="28"/>
          <w:szCs w:val="28"/>
          <w:lang w:eastAsia="ru-RU"/>
        </w:rPr>
      </w:pPr>
      <w:r w:rsidRPr="00E03664">
        <w:rPr>
          <w:sz w:val="28"/>
          <w:szCs w:val="28"/>
          <w:lang w:eastAsia="ru-RU"/>
        </w:rPr>
        <w:t xml:space="preserve">1.4. Задачами Стандарта являются: </w:t>
      </w:r>
    </w:p>
    <w:p w14:paraId="0FA0496C" w14:textId="77777777" w:rsidR="00437784" w:rsidRPr="00E03664" w:rsidRDefault="00437784" w:rsidP="00437784">
      <w:pPr>
        <w:ind w:firstLine="709"/>
        <w:contextualSpacing/>
        <w:jc w:val="both"/>
        <w:rPr>
          <w:sz w:val="28"/>
          <w:szCs w:val="28"/>
          <w:lang w:eastAsia="ru-RU"/>
        </w:rPr>
      </w:pPr>
      <w:r w:rsidRPr="00E03664">
        <w:rPr>
          <w:sz w:val="28"/>
          <w:szCs w:val="28"/>
          <w:lang w:eastAsia="ru-RU"/>
        </w:rPr>
        <w:t>- определение порядка организации и подготовки совместных или параллельных контрольных и экспертно-аналитических мероприятий Счетной палаты с КСО МО (далее – «Стороны»);</w:t>
      </w:r>
    </w:p>
    <w:p w14:paraId="132D74D3" w14:textId="77777777" w:rsidR="00437784" w:rsidRPr="00E03664" w:rsidRDefault="00437784" w:rsidP="00437784">
      <w:pPr>
        <w:ind w:firstLine="709"/>
        <w:contextualSpacing/>
        <w:jc w:val="both"/>
        <w:rPr>
          <w:sz w:val="28"/>
          <w:szCs w:val="28"/>
          <w:lang w:eastAsia="ru-RU"/>
        </w:rPr>
      </w:pPr>
      <w:r w:rsidRPr="00E03664">
        <w:rPr>
          <w:sz w:val="28"/>
          <w:szCs w:val="28"/>
          <w:lang w:eastAsia="ru-RU"/>
        </w:rPr>
        <w:t>-установление требований по оформлению результатов совместных или параллельных контрольных и экспертно-аналитических мероприятий, порядка их рассмотрения и реализации.</w:t>
      </w:r>
    </w:p>
    <w:p w14:paraId="51E78C28" w14:textId="77777777" w:rsidR="00437784" w:rsidRPr="00E03664" w:rsidRDefault="00437784" w:rsidP="00437784">
      <w:pPr>
        <w:ind w:firstLine="709"/>
        <w:contextualSpacing/>
        <w:jc w:val="both"/>
        <w:rPr>
          <w:sz w:val="28"/>
          <w:szCs w:val="28"/>
          <w:lang w:eastAsia="ru-RU"/>
        </w:rPr>
      </w:pPr>
      <w:r w:rsidRPr="00E03664">
        <w:rPr>
          <w:sz w:val="28"/>
          <w:szCs w:val="28"/>
          <w:lang w:eastAsia="ru-RU"/>
        </w:rPr>
        <w:t>1.5. Правовой основой участия Счетной палаты в совместных или параллельных контрольных и экспертно-аналитических мероприятиях с КСО МО является:</w:t>
      </w:r>
    </w:p>
    <w:p w14:paraId="3AF8BBA4" w14:textId="77777777" w:rsidR="00437784" w:rsidRPr="00E03664" w:rsidRDefault="00437784" w:rsidP="00437784">
      <w:pPr>
        <w:ind w:firstLine="709"/>
        <w:contextualSpacing/>
        <w:jc w:val="both"/>
        <w:rPr>
          <w:sz w:val="28"/>
          <w:szCs w:val="28"/>
          <w:lang w:eastAsia="ru-RU"/>
        </w:rPr>
      </w:pPr>
      <w:r w:rsidRPr="00E03664">
        <w:rPr>
          <w:sz w:val="28"/>
          <w:szCs w:val="28"/>
          <w:lang w:eastAsia="ru-RU"/>
        </w:rPr>
        <w:t>- Федеральный закон от 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w:t>
      </w:r>
    </w:p>
    <w:p w14:paraId="734345A3" w14:textId="77777777" w:rsidR="00437784" w:rsidRPr="00E03664" w:rsidRDefault="00437784" w:rsidP="00437784">
      <w:pPr>
        <w:ind w:firstLine="709"/>
        <w:contextualSpacing/>
        <w:jc w:val="both"/>
        <w:rPr>
          <w:sz w:val="28"/>
          <w:szCs w:val="28"/>
          <w:lang w:eastAsia="ru-RU"/>
        </w:rPr>
      </w:pPr>
      <w:r w:rsidRPr="00E03664">
        <w:rPr>
          <w:sz w:val="28"/>
          <w:szCs w:val="28"/>
          <w:lang w:eastAsia="ru-RU"/>
        </w:rPr>
        <w:lastRenderedPageBreak/>
        <w:t>- закон Алтайского края от 10 октября 2011 года № 123-ЗС «О Счетной палате Алтайского края»;</w:t>
      </w:r>
    </w:p>
    <w:p w14:paraId="76D36DDB" w14:textId="77777777" w:rsidR="00437784" w:rsidRPr="00E03664" w:rsidRDefault="00437784" w:rsidP="00437784">
      <w:pPr>
        <w:ind w:firstLine="709"/>
        <w:contextualSpacing/>
        <w:jc w:val="both"/>
        <w:rPr>
          <w:sz w:val="28"/>
          <w:szCs w:val="28"/>
          <w:lang w:eastAsia="ru-RU"/>
        </w:rPr>
      </w:pPr>
      <w:r w:rsidRPr="00E03664">
        <w:rPr>
          <w:sz w:val="28"/>
          <w:szCs w:val="28"/>
          <w:lang w:eastAsia="ru-RU"/>
        </w:rPr>
        <w:t xml:space="preserve">- Регламент Счетной палаты; </w:t>
      </w:r>
    </w:p>
    <w:p w14:paraId="282A5D47" w14:textId="77777777" w:rsidR="00437784" w:rsidRPr="00E03664" w:rsidRDefault="00437784" w:rsidP="00437784">
      <w:pPr>
        <w:ind w:firstLine="709"/>
        <w:contextualSpacing/>
        <w:jc w:val="both"/>
        <w:rPr>
          <w:sz w:val="28"/>
          <w:szCs w:val="28"/>
          <w:lang w:eastAsia="ru-RU"/>
        </w:rPr>
      </w:pPr>
      <w:r w:rsidRPr="00E03664">
        <w:rPr>
          <w:sz w:val="28"/>
          <w:szCs w:val="28"/>
          <w:lang w:eastAsia="ru-RU"/>
        </w:rPr>
        <w:t>- Регламент Совета контрольно-счетных органов Алтайского края;</w:t>
      </w:r>
    </w:p>
    <w:p w14:paraId="7C4923DD" w14:textId="77777777" w:rsidR="00437784" w:rsidRPr="00E03664" w:rsidRDefault="00437784" w:rsidP="00437784">
      <w:pPr>
        <w:ind w:firstLine="709"/>
        <w:contextualSpacing/>
        <w:jc w:val="both"/>
        <w:rPr>
          <w:sz w:val="28"/>
          <w:szCs w:val="28"/>
          <w:lang w:eastAsia="ru-RU"/>
        </w:rPr>
      </w:pPr>
      <w:r w:rsidRPr="00E03664">
        <w:rPr>
          <w:sz w:val="28"/>
          <w:szCs w:val="28"/>
          <w:lang w:eastAsia="ru-RU"/>
        </w:rPr>
        <w:t>- Соглашение о сотрудничестве между Счетной палатой и Контрольно-счетным органом;</w:t>
      </w:r>
    </w:p>
    <w:p w14:paraId="1CF1C288" w14:textId="77777777" w:rsidR="00437784" w:rsidRPr="00E03664" w:rsidRDefault="00437784" w:rsidP="00437784">
      <w:pPr>
        <w:ind w:firstLine="709"/>
        <w:contextualSpacing/>
        <w:jc w:val="both"/>
        <w:rPr>
          <w:sz w:val="28"/>
          <w:szCs w:val="28"/>
          <w:lang w:eastAsia="ru-RU"/>
        </w:rPr>
      </w:pPr>
      <w:r w:rsidRPr="00E03664">
        <w:rPr>
          <w:sz w:val="28"/>
          <w:szCs w:val="28"/>
          <w:lang w:eastAsia="ru-RU"/>
        </w:rPr>
        <w:t>- Положение о Контрольно-счетном органе муниципального образования Змеиногорский район Алтайского края;</w:t>
      </w:r>
    </w:p>
    <w:p w14:paraId="01C0AEF5" w14:textId="77777777" w:rsidR="00437784" w:rsidRPr="00E03664" w:rsidRDefault="00437784" w:rsidP="00437784">
      <w:pPr>
        <w:ind w:firstLine="709"/>
        <w:contextualSpacing/>
        <w:jc w:val="both"/>
        <w:rPr>
          <w:sz w:val="28"/>
          <w:szCs w:val="28"/>
          <w:lang w:eastAsia="ru-RU"/>
        </w:rPr>
      </w:pPr>
      <w:r w:rsidRPr="00E03664">
        <w:rPr>
          <w:sz w:val="28"/>
          <w:szCs w:val="28"/>
          <w:lang w:eastAsia="ru-RU"/>
        </w:rPr>
        <w:t>- Регламент Контрольно-счетного органа муниципального образования Змеиногорский район Алтайского края.</w:t>
      </w:r>
    </w:p>
    <w:p w14:paraId="58048E6C" w14:textId="77777777" w:rsidR="00437784" w:rsidRPr="00E03664" w:rsidRDefault="00437784" w:rsidP="00437784">
      <w:pPr>
        <w:ind w:firstLine="709"/>
        <w:contextualSpacing/>
        <w:jc w:val="both"/>
        <w:rPr>
          <w:sz w:val="28"/>
          <w:szCs w:val="28"/>
        </w:rPr>
      </w:pPr>
      <w:r w:rsidRPr="00E03664">
        <w:rPr>
          <w:sz w:val="28"/>
          <w:szCs w:val="28"/>
        </w:rPr>
        <w:t>1.6. Решения по вопросам организации и проведения совместных или параллельных контрольных и экспертно-аналитических мероприятий, не урегулированным настоящим Стандартом принимаются председателем Контрольно</w:t>
      </w:r>
      <w:r w:rsidRPr="00E03664">
        <w:rPr>
          <w:sz w:val="28"/>
          <w:szCs w:val="28"/>
          <w:lang w:eastAsia="ru-RU"/>
        </w:rPr>
        <w:t xml:space="preserve"> Контрольно-счетного органа.</w:t>
      </w:r>
    </w:p>
    <w:p w14:paraId="41D89F87" w14:textId="77777777" w:rsidR="00437784" w:rsidRPr="00E03664" w:rsidRDefault="00437784" w:rsidP="00437784">
      <w:pPr>
        <w:ind w:firstLine="709"/>
        <w:contextualSpacing/>
        <w:jc w:val="both"/>
        <w:rPr>
          <w:sz w:val="28"/>
          <w:szCs w:val="28"/>
        </w:rPr>
      </w:pPr>
    </w:p>
    <w:p w14:paraId="2E6CC3CD" w14:textId="77777777" w:rsidR="00437784" w:rsidRPr="00E03664" w:rsidRDefault="00437784" w:rsidP="00437784">
      <w:pPr>
        <w:ind w:firstLine="709"/>
        <w:contextualSpacing/>
        <w:jc w:val="center"/>
        <w:rPr>
          <w:b/>
          <w:bCs/>
          <w:sz w:val="28"/>
          <w:szCs w:val="28"/>
          <w:lang w:eastAsia="ru-RU"/>
        </w:rPr>
      </w:pPr>
      <w:r w:rsidRPr="00E03664">
        <w:rPr>
          <w:b/>
          <w:bCs/>
          <w:sz w:val="28"/>
          <w:szCs w:val="28"/>
          <w:lang w:eastAsia="ru-RU"/>
        </w:rPr>
        <w:t xml:space="preserve">2. Содержание совместных или параллельных контрольных </w:t>
      </w:r>
      <w:r w:rsidRPr="00E03664">
        <w:rPr>
          <w:sz w:val="28"/>
          <w:szCs w:val="28"/>
          <w:lang w:eastAsia="ru-RU"/>
        </w:rPr>
        <w:t xml:space="preserve">и </w:t>
      </w:r>
      <w:r w:rsidRPr="00E03664">
        <w:rPr>
          <w:b/>
          <w:bCs/>
          <w:sz w:val="28"/>
          <w:szCs w:val="28"/>
          <w:lang w:eastAsia="ru-RU"/>
        </w:rPr>
        <w:t>экспертно-аналитических мероприятий</w:t>
      </w:r>
    </w:p>
    <w:p w14:paraId="1DA06D6F" w14:textId="77777777" w:rsidR="00437784" w:rsidRPr="00E03664" w:rsidRDefault="00437784" w:rsidP="00437784">
      <w:pPr>
        <w:ind w:firstLine="709"/>
        <w:contextualSpacing/>
        <w:jc w:val="both"/>
        <w:rPr>
          <w:sz w:val="28"/>
          <w:szCs w:val="28"/>
          <w:lang w:eastAsia="ru-RU"/>
        </w:rPr>
      </w:pPr>
      <w:r w:rsidRPr="00E03664">
        <w:rPr>
          <w:sz w:val="28"/>
          <w:szCs w:val="28"/>
          <w:lang w:eastAsia="ru-RU"/>
        </w:rPr>
        <w:t>2.1. Совместные контрольные и экспертно-аналитические мероприятия – это форма организации контрольных и экспертно-аналитических мероприятий, осуществляемых Счетной палатой и КСО МО на двусторонней или многосторонней основе в соответствии с общей программой по теме, предложенной Стороной-инициатором, и в согласованные сроки.</w:t>
      </w:r>
    </w:p>
    <w:p w14:paraId="2E930C9F" w14:textId="77777777" w:rsidR="00437784" w:rsidRPr="00E03664" w:rsidRDefault="00437784" w:rsidP="00437784">
      <w:pPr>
        <w:ind w:firstLine="709"/>
        <w:contextualSpacing/>
        <w:jc w:val="both"/>
        <w:rPr>
          <w:sz w:val="28"/>
          <w:szCs w:val="28"/>
          <w:lang w:eastAsia="ru-RU"/>
        </w:rPr>
      </w:pPr>
      <w:r w:rsidRPr="00E03664">
        <w:rPr>
          <w:sz w:val="28"/>
          <w:szCs w:val="28"/>
          <w:lang w:eastAsia="ru-RU"/>
        </w:rPr>
        <w:t>2.2. Параллельные контрольные и экспертно-аналитические мероприятия - это форма организации контрольных и экспертно-аналитических мероприятий, осуществляемых Счетной палатой и КСО МО по взаимному соглашению каждой из Сторон самостоятельно по раздельным программам, в согласованные сроки, с последующим обменом и использованием информации по их результатам.</w:t>
      </w:r>
    </w:p>
    <w:p w14:paraId="5A580CAC" w14:textId="77777777" w:rsidR="00437784" w:rsidRPr="00E03664" w:rsidRDefault="00437784" w:rsidP="00437784">
      <w:pPr>
        <w:ind w:firstLine="709"/>
        <w:contextualSpacing/>
        <w:jc w:val="both"/>
        <w:rPr>
          <w:sz w:val="28"/>
          <w:szCs w:val="28"/>
          <w:lang w:eastAsia="ru-RU"/>
        </w:rPr>
      </w:pPr>
    </w:p>
    <w:p w14:paraId="7EEB0550" w14:textId="53861AA2" w:rsidR="00437784" w:rsidRPr="00E03664" w:rsidRDefault="00437784" w:rsidP="00903F6A">
      <w:pPr>
        <w:pStyle w:val="a9"/>
        <w:numPr>
          <w:ilvl w:val="0"/>
          <w:numId w:val="2"/>
        </w:numPr>
        <w:suppressAutoHyphens w:val="0"/>
        <w:jc w:val="center"/>
        <w:rPr>
          <w:rFonts w:eastAsia="Calibri"/>
          <w:b/>
          <w:bCs/>
          <w:sz w:val="28"/>
          <w:szCs w:val="28"/>
          <w:lang w:eastAsia="ru-RU"/>
        </w:rPr>
      </w:pPr>
      <w:r w:rsidRPr="00E03664">
        <w:rPr>
          <w:rFonts w:eastAsia="Calibri"/>
          <w:b/>
          <w:bCs/>
          <w:sz w:val="28"/>
          <w:szCs w:val="28"/>
          <w:lang w:eastAsia="ru-RU"/>
        </w:rPr>
        <w:t>Планирование совместных или параллельных контрольных и экспертно-аналитических мероприятий</w:t>
      </w:r>
    </w:p>
    <w:p w14:paraId="1937BE4F" w14:textId="77777777" w:rsidR="00437784" w:rsidRPr="00E03664" w:rsidRDefault="00437784" w:rsidP="00437784">
      <w:pPr>
        <w:ind w:firstLine="851"/>
        <w:jc w:val="both"/>
        <w:rPr>
          <w:sz w:val="28"/>
          <w:szCs w:val="28"/>
          <w:highlight w:val="yellow"/>
          <w:lang w:eastAsia="ru-RU"/>
        </w:rPr>
      </w:pPr>
      <w:r w:rsidRPr="00E03664">
        <w:rPr>
          <w:sz w:val="28"/>
          <w:szCs w:val="28"/>
          <w:lang w:eastAsia="ru-RU"/>
        </w:rPr>
        <w:t>3.1. Планирование проведения Контрольно-счетным органом совместных или параллельных контрольных и экспертно-аналитических мероприятий осуществляется в соответствии со статьей 11 Положения о Контрольно-счетном органе муниципального образования Змеиногорский район Алтайского края, порядком планирования работы, определенным стандартом организации деятельности Контрольно-счетного органа муниципального образования Змеиногорский район Алтайского края СОД 03 «Порядок планирования работы Контрольно-счетного органа муниципального образования Змеиногорский район Алтайского края» (далее – «СОД 03»), соглашением о сотрудничестве, о порядке взаимодействия между Контрольно-счетным органом и Счетной палатой.</w:t>
      </w:r>
    </w:p>
    <w:p w14:paraId="0A8C9413" w14:textId="77777777" w:rsidR="00437784" w:rsidRPr="00E03664" w:rsidRDefault="00437784" w:rsidP="00437784">
      <w:pPr>
        <w:ind w:firstLine="851"/>
        <w:jc w:val="both"/>
        <w:rPr>
          <w:sz w:val="28"/>
          <w:szCs w:val="28"/>
          <w:lang w:eastAsia="ru-RU"/>
        </w:rPr>
      </w:pPr>
      <w:r w:rsidRPr="00E03664">
        <w:rPr>
          <w:sz w:val="28"/>
          <w:szCs w:val="28"/>
          <w:lang w:eastAsia="ru-RU"/>
        </w:rPr>
        <w:t xml:space="preserve">3.2. Предложения Счетной палаты в адрес Контрольно-счетного органа о проведении совместных или параллельных контрольных и экспертно-аналитических мероприятий, как правило, вносятся при формировании плана </w:t>
      </w:r>
      <w:r w:rsidRPr="00E03664">
        <w:rPr>
          <w:sz w:val="28"/>
          <w:szCs w:val="28"/>
          <w:lang w:eastAsia="ru-RU"/>
        </w:rPr>
        <w:lastRenderedPageBreak/>
        <w:t>работы Счетной палаты на очередной год в соответствии с порядком планирования работы Счетной палаты.</w:t>
      </w:r>
    </w:p>
    <w:p w14:paraId="4E19594B" w14:textId="77777777" w:rsidR="00437784" w:rsidRPr="00E03664" w:rsidRDefault="00437784" w:rsidP="00437784">
      <w:pPr>
        <w:ind w:firstLine="851"/>
        <w:jc w:val="both"/>
        <w:rPr>
          <w:sz w:val="28"/>
          <w:szCs w:val="28"/>
          <w:lang w:eastAsia="ru-RU"/>
        </w:rPr>
      </w:pPr>
      <w:r w:rsidRPr="00E03664">
        <w:rPr>
          <w:sz w:val="28"/>
          <w:szCs w:val="28"/>
          <w:lang w:eastAsia="ru-RU"/>
        </w:rPr>
        <w:t xml:space="preserve">3.2. Аудиторы Счетной палаты по направлениям деятельности подготавливают предложения о проведении совместных или параллельных контрольных и экспертно-аналитических мероприятий на очередной год, направляют их за подписью председателя (заместителя председателя) Счетной палаты в адрес Контрольно-счетного органа до 15 ноября года, предшествующего плановому. Предложения о проведении совместных или параллельных контрольных и экспертно-аналитических мероприятий, как правило, содержат срок для получения ответа на них до 1 декабря года, предшествующего плановому. </w:t>
      </w:r>
    </w:p>
    <w:p w14:paraId="3D837B85" w14:textId="77777777" w:rsidR="00437784" w:rsidRPr="00E03664" w:rsidRDefault="00437784" w:rsidP="00437784">
      <w:pPr>
        <w:ind w:firstLine="851"/>
        <w:jc w:val="both"/>
        <w:rPr>
          <w:sz w:val="28"/>
          <w:szCs w:val="28"/>
          <w:lang w:eastAsia="ru-RU"/>
        </w:rPr>
      </w:pPr>
      <w:r w:rsidRPr="00E03664">
        <w:rPr>
          <w:sz w:val="28"/>
          <w:szCs w:val="28"/>
          <w:lang w:eastAsia="ru-RU"/>
        </w:rPr>
        <w:t>3.3. При поступлении в Контрольно-счетный орган предложений от Счетной палаты о проведении совместных или параллельных контрольных и экспертно-аналитических мероприятий председатель Контрольно-счетного органа подготавливает и направляет ответ адресату о возможности включения или не включения в план работы Контрольно-счетного органа на очередной год указанных мероприятий.</w:t>
      </w:r>
    </w:p>
    <w:p w14:paraId="78267F05" w14:textId="77777777" w:rsidR="00437784" w:rsidRPr="00E03664" w:rsidRDefault="00437784" w:rsidP="00437784">
      <w:pPr>
        <w:ind w:firstLine="851"/>
        <w:jc w:val="both"/>
        <w:rPr>
          <w:sz w:val="28"/>
          <w:szCs w:val="28"/>
          <w:lang w:eastAsia="ru-RU"/>
        </w:rPr>
      </w:pPr>
      <w:r w:rsidRPr="00E03664">
        <w:rPr>
          <w:sz w:val="28"/>
          <w:szCs w:val="28"/>
          <w:lang w:eastAsia="ru-RU"/>
        </w:rPr>
        <w:t xml:space="preserve">3.4. При получении от Контрольно-счетного органа согласия на участие в проведении совместного или параллельного контрольного и экспертно-аналитического мероприятия в установленный срок, аудитор Счетной палаты включает мероприятие в проект плана работы Счетной палаты на очередной год для последующего рассмотрения на заседании коллегии Счетной палаты. </w:t>
      </w:r>
    </w:p>
    <w:p w14:paraId="77E3DD9F" w14:textId="77777777" w:rsidR="00437784" w:rsidRPr="00E03664" w:rsidRDefault="00437784" w:rsidP="00437784">
      <w:pPr>
        <w:ind w:firstLine="851"/>
        <w:jc w:val="both"/>
        <w:rPr>
          <w:sz w:val="28"/>
          <w:szCs w:val="28"/>
          <w:lang w:eastAsia="ru-RU"/>
        </w:rPr>
      </w:pPr>
      <w:r w:rsidRPr="00E03664">
        <w:rPr>
          <w:sz w:val="28"/>
          <w:szCs w:val="28"/>
          <w:lang w:eastAsia="ru-RU"/>
        </w:rPr>
        <w:t xml:space="preserve">3.5. При получении отрицательного ответа на предложение Счетной палаты о проведении совместного или параллельного контрольного и экспертно-аналитического мероприятия аудитор Счетной палаты может включить в проект плана работы Счетной палаты на очередной год проведение данного контрольного или экспертно-аналитического мероприятия самостоятельно, без участия Контрольно-счетного органа. </w:t>
      </w:r>
    </w:p>
    <w:p w14:paraId="7BBA11DF" w14:textId="77777777" w:rsidR="00437784" w:rsidRPr="00E03664" w:rsidRDefault="00437784" w:rsidP="00437784">
      <w:pPr>
        <w:ind w:firstLine="851"/>
        <w:jc w:val="both"/>
        <w:rPr>
          <w:sz w:val="28"/>
          <w:szCs w:val="28"/>
          <w:lang w:eastAsia="ru-RU"/>
        </w:rPr>
      </w:pPr>
      <w:r w:rsidRPr="00E03664">
        <w:rPr>
          <w:sz w:val="28"/>
          <w:szCs w:val="28"/>
          <w:lang w:eastAsia="ru-RU"/>
        </w:rPr>
        <w:t>3.6. При поступлении в Счетную палату предложений от Контрольно-счетного органа о проведении совместных или параллельных контрольных и экспертно-аналитических мероприятий в плановом периоде до 1 декабря года, предшествующему плановому, председатель (заместитель председателя) Счетной палаты поручает аудитору (аудиторам) Счетной палаты, к компетенции которых относятся вопросы обращения, до 5 декабря года, предшествующего плановому, подготовить предложения о возможности включения в проект плана работы на очередной год указанных мероприятий. Предложения Контрольно-счетного органа, поступившие позднее 1 декабря года, предшествующего плановому, на рассмотрение коллегии Счетной палаты не выносятся.</w:t>
      </w:r>
    </w:p>
    <w:p w14:paraId="2C4C949E" w14:textId="77777777" w:rsidR="00437784" w:rsidRPr="00E03664" w:rsidRDefault="00437784" w:rsidP="00437784">
      <w:pPr>
        <w:ind w:firstLine="851"/>
        <w:jc w:val="both"/>
        <w:rPr>
          <w:sz w:val="28"/>
          <w:szCs w:val="28"/>
          <w:lang w:eastAsia="ru-RU"/>
        </w:rPr>
      </w:pPr>
      <w:r w:rsidRPr="00E03664">
        <w:rPr>
          <w:sz w:val="28"/>
          <w:szCs w:val="28"/>
          <w:lang w:eastAsia="ru-RU"/>
        </w:rPr>
        <w:t>3.7. Аудитор (аудиторы) Счетной палаты, получившие поручение о рассмотрении обращения, вносят на рассмотрение коллегии Счетной палаты одно из следующих решений:</w:t>
      </w:r>
    </w:p>
    <w:p w14:paraId="10EE4DF0" w14:textId="77777777" w:rsidR="00437784" w:rsidRPr="00E03664" w:rsidRDefault="00437784" w:rsidP="00437784">
      <w:pPr>
        <w:ind w:firstLine="851"/>
        <w:jc w:val="both"/>
        <w:rPr>
          <w:sz w:val="28"/>
          <w:szCs w:val="28"/>
          <w:lang w:eastAsia="ru-RU"/>
        </w:rPr>
      </w:pPr>
      <w:r w:rsidRPr="00E03664">
        <w:rPr>
          <w:sz w:val="28"/>
          <w:szCs w:val="28"/>
          <w:lang w:eastAsia="ru-RU"/>
        </w:rPr>
        <w:t xml:space="preserve"> - включить в проект плана работы Счетной палаты на очередной год проведение совместного или параллельного контрольного и экспертно-аналитического мероприятия в соответствии с предложением;</w:t>
      </w:r>
    </w:p>
    <w:p w14:paraId="2130B02E" w14:textId="77777777" w:rsidR="00437784" w:rsidRPr="00E03664" w:rsidRDefault="00437784" w:rsidP="00437784">
      <w:pPr>
        <w:ind w:firstLine="851"/>
        <w:jc w:val="both"/>
        <w:rPr>
          <w:sz w:val="28"/>
          <w:szCs w:val="28"/>
          <w:lang w:eastAsia="ru-RU"/>
        </w:rPr>
      </w:pPr>
      <w:r w:rsidRPr="00E03664">
        <w:rPr>
          <w:sz w:val="28"/>
          <w:szCs w:val="28"/>
          <w:lang w:eastAsia="ru-RU"/>
        </w:rPr>
        <w:lastRenderedPageBreak/>
        <w:t xml:space="preserve"> - учесть отдельные вопросы из предложения Контрольно-счетного органа при проведении иных контрольных и экспертно-аналитических мероприятий, которые предусматриваются проектом плана работы Счетной палаты на очередной год; </w:t>
      </w:r>
    </w:p>
    <w:p w14:paraId="63E38CD5" w14:textId="77777777" w:rsidR="00437784" w:rsidRPr="00E03664" w:rsidRDefault="00437784" w:rsidP="00437784">
      <w:pPr>
        <w:ind w:firstLine="851"/>
        <w:jc w:val="both"/>
        <w:rPr>
          <w:sz w:val="28"/>
          <w:szCs w:val="28"/>
          <w:lang w:eastAsia="ru-RU"/>
        </w:rPr>
      </w:pPr>
      <w:r w:rsidRPr="00E03664">
        <w:rPr>
          <w:sz w:val="28"/>
          <w:szCs w:val="28"/>
          <w:lang w:eastAsia="ru-RU"/>
        </w:rPr>
        <w:t>- отклонить предложение Контрольно-счетного органа.</w:t>
      </w:r>
    </w:p>
    <w:p w14:paraId="2B9EA318" w14:textId="77777777" w:rsidR="00437784" w:rsidRPr="00E03664" w:rsidRDefault="00437784" w:rsidP="00437784">
      <w:pPr>
        <w:ind w:firstLine="851"/>
        <w:jc w:val="both"/>
        <w:rPr>
          <w:sz w:val="28"/>
          <w:szCs w:val="28"/>
          <w:lang w:eastAsia="ru-RU"/>
        </w:rPr>
      </w:pPr>
      <w:r w:rsidRPr="00E03664">
        <w:rPr>
          <w:sz w:val="28"/>
          <w:szCs w:val="28"/>
          <w:lang w:eastAsia="ru-RU"/>
        </w:rPr>
        <w:t>3.8. При принятии коллегией Счетной палаты решения о проведении совместного или параллельного контрольного и экспертно-аналитического мероприятия в соответствии с предложением Контрольно-счетного органа, включении отдельных вопросов из предложений Контрольно-счетного органа, а также в случае отклонения предложений Контрольно-счетного органа, председателю Контрольно-счетного органа направляется ответ, содержащий информацию о соответствующем решении</w:t>
      </w:r>
      <w:r w:rsidRPr="00E03664">
        <w:rPr>
          <w:sz w:val="28"/>
          <w:szCs w:val="28"/>
        </w:rPr>
        <w:t xml:space="preserve"> </w:t>
      </w:r>
      <w:r w:rsidRPr="00E03664">
        <w:rPr>
          <w:sz w:val="28"/>
          <w:szCs w:val="28"/>
          <w:lang w:eastAsia="ru-RU"/>
        </w:rPr>
        <w:t>в 7-дневный срок со дня принятия решения коллегией Счетной палаты.</w:t>
      </w:r>
    </w:p>
    <w:p w14:paraId="7FE38FC7" w14:textId="77777777" w:rsidR="00437784" w:rsidRPr="00E03664" w:rsidRDefault="00437784" w:rsidP="00437784">
      <w:pPr>
        <w:ind w:firstLine="851"/>
        <w:jc w:val="both"/>
        <w:rPr>
          <w:sz w:val="28"/>
          <w:szCs w:val="28"/>
          <w:lang w:eastAsia="ru-RU"/>
        </w:rPr>
      </w:pPr>
    </w:p>
    <w:p w14:paraId="580FD11C" w14:textId="50600684" w:rsidR="00437784" w:rsidRPr="00E03664" w:rsidRDefault="00437784" w:rsidP="00903F6A">
      <w:pPr>
        <w:pStyle w:val="a9"/>
        <w:numPr>
          <w:ilvl w:val="0"/>
          <w:numId w:val="2"/>
        </w:numPr>
        <w:suppressAutoHyphens w:val="0"/>
        <w:ind w:right="850"/>
        <w:jc w:val="center"/>
        <w:rPr>
          <w:rFonts w:eastAsia="Calibri"/>
          <w:b/>
          <w:bCs/>
          <w:sz w:val="28"/>
          <w:szCs w:val="28"/>
          <w:lang w:eastAsia="en-US"/>
        </w:rPr>
      </w:pPr>
      <w:r w:rsidRPr="00E03664">
        <w:rPr>
          <w:rFonts w:eastAsia="Calibri"/>
          <w:b/>
          <w:bCs/>
          <w:sz w:val="28"/>
          <w:szCs w:val="28"/>
          <w:lang w:eastAsia="en-US"/>
        </w:rPr>
        <w:t>Подготовка и рассмотрение обращений о проведении внеплановых совместных или параллельных контрольных и экспертно-аналитических мероприятий</w:t>
      </w:r>
    </w:p>
    <w:p w14:paraId="71D5F6E9" w14:textId="77777777" w:rsidR="00437784" w:rsidRPr="00E03664" w:rsidRDefault="00437784" w:rsidP="00437784">
      <w:pPr>
        <w:ind w:right="-1" w:firstLine="851"/>
        <w:jc w:val="both"/>
        <w:rPr>
          <w:sz w:val="28"/>
          <w:szCs w:val="28"/>
          <w:lang w:eastAsia="ru-RU"/>
        </w:rPr>
      </w:pPr>
      <w:r w:rsidRPr="00E03664">
        <w:rPr>
          <w:sz w:val="28"/>
          <w:szCs w:val="28"/>
          <w:lang w:eastAsia="ru-RU"/>
        </w:rPr>
        <w:t xml:space="preserve">4.1. В случае поступления в Счетную палату поручений, предложений, обращений в соответствии со статьей 11 закона Алтайского края от 10 октября 2011 года № 123-ЗС «О Счетной палате Алтайского края», для исполнения которых целесообразно инициировать проведение внепланового совместного или параллельного контрольного и экспертно-аналитического мероприятия с Контрольно-счетным органом, председатель (заместитель председателя) Счетной палаты при участии аудитора (аудиторов) Счетной палаты, к компетенции которых относятся вопросы поручений, предложений, обращений, вносит на рассмотрение коллегии Счетной палаты обоснованные предложения о необходимости проведения такого мероприятия. </w:t>
      </w:r>
    </w:p>
    <w:p w14:paraId="386E3D62" w14:textId="77777777" w:rsidR="00437784" w:rsidRPr="00E03664" w:rsidRDefault="00437784" w:rsidP="00437784">
      <w:pPr>
        <w:ind w:right="-1" w:firstLine="851"/>
        <w:jc w:val="both"/>
        <w:rPr>
          <w:sz w:val="28"/>
          <w:szCs w:val="28"/>
          <w:lang w:eastAsia="ru-RU"/>
        </w:rPr>
      </w:pPr>
      <w:r w:rsidRPr="00E03664">
        <w:rPr>
          <w:sz w:val="28"/>
          <w:szCs w:val="28"/>
          <w:lang w:eastAsia="ru-RU"/>
        </w:rPr>
        <w:t xml:space="preserve">4.2. При принятии решения коллегией Счетной палаты предложения о проведении совместного или параллельного контрольного и экспертно-аналитического мероприятия в адрес Контрольно-счетного органа направляется обращение, подготовленное аудитором Счетной палаты, за подписью председателя (заместителя председателя) Счетной палаты. </w:t>
      </w:r>
    </w:p>
    <w:p w14:paraId="7835B270" w14:textId="77777777" w:rsidR="00437784" w:rsidRPr="00E03664" w:rsidRDefault="00437784" w:rsidP="00437784">
      <w:pPr>
        <w:ind w:right="-1" w:firstLine="851"/>
        <w:jc w:val="both"/>
        <w:rPr>
          <w:sz w:val="28"/>
          <w:szCs w:val="28"/>
          <w:lang w:eastAsia="ru-RU"/>
        </w:rPr>
      </w:pPr>
      <w:r w:rsidRPr="00E03664">
        <w:rPr>
          <w:sz w:val="28"/>
          <w:szCs w:val="28"/>
          <w:lang w:eastAsia="ru-RU"/>
        </w:rPr>
        <w:t xml:space="preserve">4.3. При получении от Контрольно-счетного органа положительного ответа на обращение Счетной палаты совместное или параллельное контрольное и экспертно-аналитическое мероприятие в установленном порядке включается в план работы Счетной палаты. </w:t>
      </w:r>
    </w:p>
    <w:p w14:paraId="3F0B6AB9" w14:textId="77777777" w:rsidR="00437784" w:rsidRPr="00E03664" w:rsidRDefault="00437784" w:rsidP="00437784">
      <w:pPr>
        <w:spacing w:before="100" w:beforeAutospacing="1" w:after="100" w:afterAutospacing="1"/>
        <w:ind w:firstLine="709"/>
        <w:contextualSpacing/>
        <w:jc w:val="both"/>
        <w:rPr>
          <w:sz w:val="28"/>
          <w:szCs w:val="28"/>
          <w:lang w:eastAsia="ru-RU"/>
        </w:rPr>
      </w:pPr>
      <w:r w:rsidRPr="00E03664">
        <w:rPr>
          <w:sz w:val="28"/>
          <w:szCs w:val="28"/>
          <w:lang w:eastAsia="ru-RU"/>
        </w:rPr>
        <w:t>Принятые предложения Счетной палаты о проведении совместных (параллельных) мероприятий вносятся председателем Контрольно-счетного органа в план работы Контрольно-счетного органа в соответствии со стандартом СОД 03.</w:t>
      </w:r>
    </w:p>
    <w:p w14:paraId="340A14BF" w14:textId="77777777" w:rsidR="00437784" w:rsidRPr="00E03664" w:rsidRDefault="00437784" w:rsidP="00437784">
      <w:pPr>
        <w:ind w:right="-1" w:firstLine="851"/>
        <w:jc w:val="both"/>
        <w:rPr>
          <w:sz w:val="28"/>
          <w:szCs w:val="28"/>
          <w:lang w:eastAsia="ru-RU"/>
        </w:rPr>
      </w:pPr>
      <w:r w:rsidRPr="00E03664">
        <w:rPr>
          <w:sz w:val="28"/>
          <w:szCs w:val="28"/>
          <w:lang w:eastAsia="ru-RU"/>
        </w:rPr>
        <w:t>4.4. При получении отрицательного ответа на предложение Счетной палаты о проведении совместного или параллельного контрольного и экспертно-аналитического мероприятия коллегией Счетной палаты принимается решение о проведении контрольного или экспертно-</w:t>
      </w:r>
      <w:r w:rsidRPr="00E03664">
        <w:rPr>
          <w:sz w:val="28"/>
          <w:szCs w:val="28"/>
          <w:lang w:eastAsia="ru-RU"/>
        </w:rPr>
        <w:lastRenderedPageBreak/>
        <w:t>аналитического мероприятия самостоятельно, без участия Контрольно-счетного органа.</w:t>
      </w:r>
    </w:p>
    <w:p w14:paraId="01CABF8D" w14:textId="77777777" w:rsidR="00437784" w:rsidRPr="00E03664" w:rsidRDefault="00437784" w:rsidP="00437784">
      <w:pPr>
        <w:ind w:right="-1" w:firstLine="851"/>
        <w:jc w:val="both"/>
        <w:rPr>
          <w:sz w:val="28"/>
          <w:szCs w:val="28"/>
          <w:lang w:eastAsia="ru-RU"/>
        </w:rPr>
      </w:pPr>
      <w:r w:rsidRPr="00E03664">
        <w:rPr>
          <w:sz w:val="28"/>
          <w:szCs w:val="28"/>
          <w:lang w:eastAsia="ru-RU"/>
        </w:rPr>
        <w:t>4.5. Обращения Контрольно-счетного органа о проведении внепланового совместного или параллельного контрольного и экспертно-аналитического мероприятия рассматриваются коллегией Счетной палаты в порядке, предусмотренном разделом 3 настоящего Стандарта, при формировании плана работы на следующий год.</w:t>
      </w:r>
    </w:p>
    <w:p w14:paraId="5A2347BB" w14:textId="77777777" w:rsidR="00437784" w:rsidRPr="00E03664" w:rsidRDefault="00437784" w:rsidP="00437784">
      <w:pPr>
        <w:ind w:right="-1" w:firstLine="851"/>
        <w:jc w:val="both"/>
        <w:rPr>
          <w:sz w:val="28"/>
          <w:szCs w:val="28"/>
          <w:lang w:eastAsia="ru-RU"/>
        </w:rPr>
      </w:pPr>
    </w:p>
    <w:p w14:paraId="1683C407" w14:textId="77777777" w:rsidR="00437784" w:rsidRPr="00E03664" w:rsidRDefault="00437784" w:rsidP="00437784">
      <w:pPr>
        <w:suppressAutoHyphens w:val="0"/>
        <w:ind w:left="851" w:right="850"/>
        <w:contextualSpacing/>
        <w:jc w:val="center"/>
        <w:rPr>
          <w:rFonts w:eastAsia="Calibri"/>
          <w:b/>
          <w:bCs/>
          <w:sz w:val="28"/>
          <w:szCs w:val="28"/>
          <w:lang w:eastAsia="ru-RU"/>
        </w:rPr>
      </w:pPr>
      <w:r w:rsidRPr="00E03664">
        <w:rPr>
          <w:rFonts w:eastAsia="Calibri"/>
          <w:b/>
          <w:bCs/>
          <w:sz w:val="28"/>
          <w:szCs w:val="28"/>
          <w:lang w:eastAsia="ru-RU"/>
        </w:rPr>
        <w:t>5.Подготовка и подписание Решения о проведении совместного или параллельного контрольного и экспертно-аналитического мероприятия, программы проведения совместного или параллельного контрольного и экспертно-аналитического мероприятия</w:t>
      </w:r>
    </w:p>
    <w:p w14:paraId="58040B05" w14:textId="77777777" w:rsidR="00437784" w:rsidRPr="00E03664" w:rsidRDefault="00437784" w:rsidP="00437784">
      <w:pPr>
        <w:ind w:right="-1" w:firstLine="851"/>
        <w:jc w:val="both"/>
        <w:rPr>
          <w:sz w:val="28"/>
          <w:szCs w:val="28"/>
          <w:lang w:eastAsia="ru-RU"/>
        </w:rPr>
      </w:pPr>
      <w:r w:rsidRPr="00E03664">
        <w:rPr>
          <w:sz w:val="28"/>
          <w:szCs w:val="28"/>
          <w:lang w:eastAsia="ru-RU"/>
        </w:rPr>
        <w:t xml:space="preserve">5.1. Для проведения совместного или параллельного контрольного и экспертно-аналитического мероприятия Счетная палата подготавливает и направляет в адрес Контрольно-счетного органа для рассмотрения и последующего подписания Решение о проведении совместного или параллельного контрольного и экспертно-аналитического мероприятия (далее – «Решение»), в котором определяются: </w:t>
      </w:r>
    </w:p>
    <w:p w14:paraId="2E27ADC9" w14:textId="77777777" w:rsidR="00437784" w:rsidRPr="00E03664" w:rsidRDefault="00437784" w:rsidP="00437784">
      <w:pPr>
        <w:ind w:right="-1" w:firstLine="851"/>
        <w:jc w:val="both"/>
        <w:rPr>
          <w:sz w:val="28"/>
          <w:szCs w:val="28"/>
          <w:lang w:eastAsia="ru-RU"/>
        </w:rPr>
      </w:pPr>
      <w:r w:rsidRPr="00E03664">
        <w:rPr>
          <w:sz w:val="28"/>
          <w:szCs w:val="28"/>
          <w:lang w:eastAsia="ru-RU"/>
        </w:rPr>
        <w:t xml:space="preserve">- наименование контрольного и экспертно-аналитического мероприятия; </w:t>
      </w:r>
    </w:p>
    <w:p w14:paraId="4342D23C" w14:textId="77777777" w:rsidR="00437784" w:rsidRPr="00E03664" w:rsidRDefault="00437784" w:rsidP="00437784">
      <w:pPr>
        <w:ind w:right="-1" w:firstLine="851"/>
        <w:jc w:val="both"/>
        <w:rPr>
          <w:sz w:val="28"/>
          <w:szCs w:val="28"/>
          <w:lang w:eastAsia="ru-RU"/>
        </w:rPr>
      </w:pPr>
      <w:r w:rsidRPr="00E03664">
        <w:rPr>
          <w:sz w:val="28"/>
          <w:szCs w:val="28"/>
          <w:lang w:eastAsia="ru-RU"/>
        </w:rPr>
        <w:t xml:space="preserve">- сроки проведения контрольного и экспертно-аналитического мероприятия; </w:t>
      </w:r>
    </w:p>
    <w:p w14:paraId="758815F2" w14:textId="77777777" w:rsidR="00437784" w:rsidRPr="00E03664" w:rsidRDefault="00437784" w:rsidP="00437784">
      <w:pPr>
        <w:ind w:right="-1" w:firstLine="851"/>
        <w:jc w:val="both"/>
        <w:rPr>
          <w:sz w:val="28"/>
          <w:szCs w:val="28"/>
          <w:lang w:eastAsia="ru-RU"/>
        </w:rPr>
      </w:pPr>
      <w:r w:rsidRPr="00E03664">
        <w:rPr>
          <w:sz w:val="28"/>
          <w:szCs w:val="28"/>
          <w:lang w:eastAsia="ru-RU"/>
        </w:rPr>
        <w:t xml:space="preserve">- ответственные лица за проведение контрольного и экспертно-аналитического мероприятия; </w:t>
      </w:r>
    </w:p>
    <w:p w14:paraId="00BED011" w14:textId="77777777" w:rsidR="00437784" w:rsidRPr="00E03664" w:rsidRDefault="00437784" w:rsidP="00437784">
      <w:pPr>
        <w:ind w:right="-1" w:firstLine="851"/>
        <w:jc w:val="both"/>
        <w:rPr>
          <w:sz w:val="28"/>
          <w:szCs w:val="28"/>
          <w:lang w:eastAsia="ru-RU"/>
        </w:rPr>
      </w:pPr>
      <w:r w:rsidRPr="00E03664">
        <w:rPr>
          <w:sz w:val="28"/>
          <w:szCs w:val="28"/>
          <w:lang w:eastAsia="ru-RU"/>
        </w:rPr>
        <w:t xml:space="preserve">- порядок обмена информацией, оформления результатов контрольного и экспертно-аналитического мероприятия, в том числе форма, порядок подписания и согласования документов; </w:t>
      </w:r>
    </w:p>
    <w:p w14:paraId="3340C610" w14:textId="77777777" w:rsidR="00437784" w:rsidRPr="00E03664" w:rsidRDefault="00437784" w:rsidP="00437784">
      <w:pPr>
        <w:ind w:right="-1" w:firstLine="851"/>
        <w:jc w:val="both"/>
        <w:rPr>
          <w:sz w:val="28"/>
          <w:szCs w:val="28"/>
          <w:lang w:eastAsia="ru-RU"/>
        </w:rPr>
      </w:pPr>
      <w:r w:rsidRPr="00E03664">
        <w:rPr>
          <w:sz w:val="28"/>
          <w:szCs w:val="28"/>
          <w:lang w:eastAsia="ru-RU"/>
        </w:rPr>
        <w:t xml:space="preserve">- порядок подготовки и принятия решений по результатам контрольного и экспертно-аналитического мероприятия; </w:t>
      </w:r>
    </w:p>
    <w:p w14:paraId="56FB1BE5" w14:textId="77777777" w:rsidR="00437784" w:rsidRPr="00E03664" w:rsidRDefault="00437784" w:rsidP="00437784">
      <w:pPr>
        <w:ind w:right="-1" w:firstLine="851"/>
        <w:jc w:val="both"/>
        <w:rPr>
          <w:sz w:val="28"/>
          <w:szCs w:val="28"/>
          <w:lang w:eastAsia="ru-RU"/>
        </w:rPr>
      </w:pPr>
      <w:r w:rsidRPr="00E03664">
        <w:rPr>
          <w:sz w:val="28"/>
          <w:szCs w:val="28"/>
          <w:lang w:eastAsia="ru-RU"/>
        </w:rPr>
        <w:t xml:space="preserve">- порядок реализации результатов контрольного и экспертно-аналитического мероприятия, контроль их реализации. </w:t>
      </w:r>
    </w:p>
    <w:p w14:paraId="7A69FB7D" w14:textId="77777777" w:rsidR="00437784" w:rsidRPr="00E03664" w:rsidRDefault="00437784" w:rsidP="00437784">
      <w:pPr>
        <w:ind w:right="-1" w:firstLine="851"/>
        <w:jc w:val="both"/>
        <w:rPr>
          <w:sz w:val="28"/>
          <w:szCs w:val="28"/>
          <w:lang w:eastAsia="ru-RU"/>
        </w:rPr>
      </w:pPr>
      <w:r w:rsidRPr="00E03664">
        <w:rPr>
          <w:sz w:val="28"/>
          <w:szCs w:val="28"/>
          <w:lang w:eastAsia="ru-RU"/>
        </w:rPr>
        <w:t>При проведении совместного или параллельного экспертно-аналитического мероприятия путем мониторинга подписание Решения не является обязательным.</w:t>
      </w:r>
    </w:p>
    <w:p w14:paraId="4EE1E418" w14:textId="77777777" w:rsidR="00437784" w:rsidRPr="00E03664" w:rsidRDefault="00437784" w:rsidP="00437784">
      <w:pPr>
        <w:ind w:right="-1" w:firstLine="851"/>
        <w:jc w:val="both"/>
        <w:rPr>
          <w:sz w:val="28"/>
          <w:szCs w:val="28"/>
          <w:lang w:eastAsia="ru-RU"/>
        </w:rPr>
      </w:pPr>
      <w:r w:rsidRPr="00E03664">
        <w:rPr>
          <w:sz w:val="28"/>
          <w:szCs w:val="28"/>
          <w:lang w:eastAsia="ru-RU"/>
        </w:rPr>
        <w:t xml:space="preserve">5.2. Проведение совместного или параллельного контрольного и экспертно-аналитического мероприятия осуществляется в соответствии программой его проведения (далее – «Программа»). </w:t>
      </w:r>
    </w:p>
    <w:p w14:paraId="4AF845F5" w14:textId="77777777" w:rsidR="00437784" w:rsidRPr="00E03664" w:rsidRDefault="00437784" w:rsidP="00437784">
      <w:pPr>
        <w:ind w:right="-1" w:firstLine="851"/>
        <w:jc w:val="both"/>
        <w:rPr>
          <w:sz w:val="28"/>
          <w:szCs w:val="28"/>
          <w:lang w:eastAsia="ru-RU"/>
        </w:rPr>
      </w:pPr>
      <w:r w:rsidRPr="00E03664">
        <w:rPr>
          <w:sz w:val="28"/>
          <w:szCs w:val="28"/>
          <w:lang w:eastAsia="ru-RU"/>
        </w:rPr>
        <w:t xml:space="preserve">5.3. Подготовка проекта Программы, проводимого по инициативе Счетной палаты, осуществляется аудитором Счетной палаты, ответственным за проведение соответствующего совместного или параллельного контрольного и экспертно-аналитического мероприятия. </w:t>
      </w:r>
    </w:p>
    <w:p w14:paraId="31A0AEA8" w14:textId="77777777" w:rsidR="00437784" w:rsidRPr="00E03664" w:rsidRDefault="00437784" w:rsidP="00437784">
      <w:pPr>
        <w:ind w:right="-1" w:firstLine="851"/>
        <w:jc w:val="both"/>
        <w:rPr>
          <w:sz w:val="28"/>
          <w:szCs w:val="28"/>
          <w:lang w:eastAsia="ru-RU"/>
        </w:rPr>
      </w:pPr>
      <w:r w:rsidRPr="00E03664">
        <w:rPr>
          <w:sz w:val="28"/>
          <w:szCs w:val="28"/>
          <w:lang w:eastAsia="ru-RU"/>
        </w:rPr>
        <w:t xml:space="preserve">5.4. При проведении совместного контрольного и экспертно-аналитического мероприятия оформляется Единая программа совместного контрольного и экспертно-аналитического мероприятия и направляется для </w:t>
      </w:r>
      <w:r w:rsidRPr="00E03664">
        <w:rPr>
          <w:sz w:val="28"/>
          <w:szCs w:val="28"/>
          <w:lang w:eastAsia="ru-RU"/>
        </w:rPr>
        <w:lastRenderedPageBreak/>
        <w:t xml:space="preserve">согласования руководителям КСО МО, участвующим в совместном контрольном и экспертно-аналитическом мероприятии, после чего утверждается председателем (заместителем председателя) Счетной палаты. </w:t>
      </w:r>
    </w:p>
    <w:p w14:paraId="7C593706" w14:textId="77777777" w:rsidR="00437784" w:rsidRPr="00E03664" w:rsidRDefault="00437784" w:rsidP="00437784">
      <w:pPr>
        <w:ind w:right="-1" w:firstLine="851"/>
        <w:jc w:val="both"/>
        <w:rPr>
          <w:sz w:val="28"/>
          <w:szCs w:val="28"/>
          <w:lang w:eastAsia="ru-RU"/>
        </w:rPr>
      </w:pPr>
      <w:r w:rsidRPr="00E03664">
        <w:rPr>
          <w:sz w:val="28"/>
          <w:szCs w:val="28"/>
          <w:lang w:eastAsia="ru-RU"/>
        </w:rPr>
        <w:t xml:space="preserve">5.5. При проведении параллельного контрольного и экспертно-аналитического мероприятия Программа оформляется каждой Стороной самостоятельно (со стороны Контрольно-счетного органа в соответствии с требованиями стандартов Контрольно-счетного органа СВМФК 01 «Общие правила  проведения контрольного мероприятия» (далее – «стандарт СВМФК 01») и </w:t>
      </w:r>
      <w:r w:rsidRPr="00E03664">
        <w:rPr>
          <w:sz w:val="28"/>
          <w:szCs w:val="28"/>
        </w:rPr>
        <w:t xml:space="preserve">СВМФК 02 </w:t>
      </w:r>
      <w:r w:rsidRPr="00E03664">
        <w:rPr>
          <w:rFonts w:eastAsia="Calibri"/>
          <w:sz w:val="28"/>
          <w:szCs w:val="28"/>
          <w:lang w:eastAsia="en-US"/>
        </w:rPr>
        <w:t>«Общие правила проведения экспертно-аналитических мероприятий»</w:t>
      </w:r>
      <w:r w:rsidRPr="00E03664">
        <w:rPr>
          <w:sz w:val="28"/>
          <w:szCs w:val="28"/>
          <w:lang w:eastAsia="ru-RU"/>
        </w:rPr>
        <w:t xml:space="preserve"> (далее – «стандарт СВМФК 02).</w:t>
      </w:r>
    </w:p>
    <w:p w14:paraId="05A0D2C6" w14:textId="77777777" w:rsidR="00437784" w:rsidRPr="00E03664" w:rsidRDefault="00437784" w:rsidP="00437784">
      <w:pPr>
        <w:ind w:right="-1" w:firstLine="851"/>
        <w:jc w:val="both"/>
        <w:rPr>
          <w:sz w:val="28"/>
          <w:szCs w:val="28"/>
          <w:lang w:eastAsia="ru-RU"/>
        </w:rPr>
      </w:pPr>
      <w:r w:rsidRPr="00E03664">
        <w:rPr>
          <w:sz w:val="28"/>
          <w:szCs w:val="28"/>
          <w:lang w:eastAsia="ru-RU"/>
        </w:rPr>
        <w:t xml:space="preserve">5.6. После утверждения Единой программы совместного контрольного и экспертно-аналитического мероприятия осуществляется подготовка единого рабочего плана проведения совместного мероприятия (далее – «Единый рабочий план мероприятия»). Со стороны Счетной палаты подготовка Единого рабочего плана мероприятия осуществляется аудитором Счетной палаты, ответственным за проведение мероприятия и направляется для согласования руководителям КСО МО, участвующим в совместном контрольном и экспертно-аналитическом мероприятии. </w:t>
      </w:r>
    </w:p>
    <w:p w14:paraId="05C2B77F" w14:textId="77777777" w:rsidR="00437784" w:rsidRPr="00E03664" w:rsidRDefault="00437784" w:rsidP="00437784">
      <w:pPr>
        <w:ind w:right="-1" w:firstLine="851"/>
        <w:jc w:val="both"/>
        <w:rPr>
          <w:sz w:val="28"/>
          <w:szCs w:val="28"/>
          <w:lang w:eastAsia="ru-RU"/>
        </w:rPr>
      </w:pPr>
      <w:r w:rsidRPr="00E03664">
        <w:rPr>
          <w:sz w:val="28"/>
          <w:szCs w:val="28"/>
          <w:lang w:eastAsia="ru-RU"/>
        </w:rPr>
        <w:t>5.8. Программа параллельного контрольного и экспертно-аналитического мероприятия, Единая программа совместного контрольного и экспертно-аналитического мероприятия, Единый рабочий план проведения совместного мероприятия доводится аудитором Счетной палаты, ответственным за проведение мероприятия, до сведения всех участников мероприятия в срок не позднее 5 календарных дней до начала проведения соответствующего мероприятия.</w:t>
      </w:r>
    </w:p>
    <w:p w14:paraId="1A063424" w14:textId="77777777" w:rsidR="00437784" w:rsidRPr="00E03664" w:rsidRDefault="00437784" w:rsidP="00437784">
      <w:pPr>
        <w:ind w:left="993" w:right="850"/>
        <w:jc w:val="center"/>
        <w:rPr>
          <w:b/>
          <w:bCs/>
          <w:sz w:val="28"/>
          <w:szCs w:val="28"/>
          <w:lang w:eastAsia="ru-RU"/>
        </w:rPr>
      </w:pPr>
    </w:p>
    <w:p w14:paraId="7B0B1AF9" w14:textId="77777777" w:rsidR="00437784" w:rsidRPr="00E03664" w:rsidRDefault="00437784" w:rsidP="00437784">
      <w:pPr>
        <w:ind w:left="993" w:right="850"/>
        <w:jc w:val="center"/>
        <w:rPr>
          <w:b/>
          <w:bCs/>
          <w:sz w:val="28"/>
          <w:szCs w:val="28"/>
          <w:lang w:eastAsia="ru-RU"/>
        </w:rPr>
      </w:pPr>
      <w:r w:rsidRPr="00E03664">
        <w:rPr>
          <w:b/>
          <w:bCs/>
          <w:sz w:val="28"/>
          <w:szCs w:val="28"/>
          <w:lang w:eastAsia="ru-RU"/>
        </w:rPr>
        <w:t>6. Оформление поручений на право проведения совместных или параллельных контрольных и экспертно-аналитических мероприятий</w:t>
      </w:r>
    </w:p>
    <w:p w14:paraId="7416B0C0" w14:textId="77777777" w:rsidR="00437784" w:rsidRPr="00E03664" w:rsidRDefault="00437784" w:rsidP="00437784">
      <w:pPr>
        <w:ind w:right="-1" w:firstLine="851"/>
        <w:jc w:val="both"/>
        <w:rPr>
          <w:sz w:val="28"/>
          <w:szCs w:val="28"/>
          <w:lang w:eastAsia="ru-RU"/>
        </w:rPr>
      </w:pPr>
      <w:r w:rsidRPr="00E03664">
        <w:rPr>
          <w:sz w:val="28"/>
          <w:szCs w:val="28"/>
          <w:lang w:eastAsia="ru-RU"/>
        </w:rPr>
        <w:t xml:space="preserve">6.1. Поручения Счетной палаты на проведение совместного или параллельного контрольного и экспертно-аналитического мероприятия оформляются каждой Стороной самостоятельно. </w:t>
      </w:r>
    </w:p>
    <w:p w14:paraId="25879DFA" w14:textId="77777777" w:rsidR="00437784" w:rsidRPr="00E03664" w:rsidRDefault="00437784" w:rsidP="00437784">
      <w:pPr>
        <w:ind w:right="-1" w:firstLine="851"/>
        <w:jc w:val="both"/>
        <w:rPr>
          <w:sz w:val="28"/>
          <w:szCs w:val="28"/>
          <w:lang w:eastAsia="ru-RU"/>
        </w:rPr>
      </w:pPr>
      <w:r w:rsidRPr="00E03664">
        <w:rPr>
          <w:sz w:val="28"/>
          <w:szCs w:val="28"/>
          <w:lang w:eastAsia="ru-RU"/>
        </w:rPr>
        <w:t>6.2. Подготовка распоряжений Контрольно-счетного органа на проведение совместных или параллельных контрольных и экспертно-аналитических мероприятий на объектах контроля осуществляется в соответствии с Регламентом Контрольно-счетного органа в порядке, установленном внутренними документами Контрольно-счетного органа.</w:t>
      </w:r>
    </w:p>
    <w:p w14:paraId="5EC44CC5" w14:textId="77777777" w:rsidR="00437784" w:rsidRPr="00E03664" w:rsidRDefault="00437784" w:rsidP="00437784">
      <w:pPr>
        <w:ind w:right="-1" w:firstLine="851"/>
        <w:jc w:val="both"/>
        <w:rPr>
          <w:sz w:val="28"/>
          <w:szCs w:val="28"/>
          <w:lang w:eastAsia="ru-RU"/>
        </w:rPr>
      </w:pPr>
    </w:p>
    <w:p w14:paraId="2BC21050" w14:textId="77777777" w:rsidR="00437784" w:rsidRPr="00E03664" w:rsidRDefault="00437784" w:rsidP="00437784">
      <w:pPr>
        <w:ind w:right="-1" w:firstLine="851"/>
        <w:jc w:val="center"/>
        <w:rPr>
          <w:b/>
          <w:bCs/>
          <w:sz w:val="28"/>
          <w:szCs w:val="28"/>
        </w:rPr>
      </w:pPr>
      <w:r w:rsidRPr="00E03664">
        <w:rPr>
          <w:b/>
          <w:bCs/>
          <w:sz w:val="28"/>
          <w:szCs w:val="28"/>
        </w:rPr>
        <w:t>7. Проведение совместных или параллельных контрольных и экспертно-аналитических мероприятий</w:t>
      </w:r>
    </w:p>
    <w:p w14:paraId="4EF8925F" w14:textId="77777777" w:rsidR="00437784" w:rsidRPr="00E03664" w:rsidRDefault="00437784" w:rsidP="00437784">
      <w:pPr>
        <w:ind w:right="-1" w:firstLine="851"/>
        <w:jc w:val="both"/>
        <w:rPr>
          <w:sz w:val="28"/>
          <w:szCs w:val="28"/>
          <w:lang w:eastAsia="ru-RU"/>
        </w:rPr>
      </w:pPr>
      <w:r w:rsidRPr="00E03664">
        <w:rPr>
          <w:sz w:val="28"/>
          <w:szCs w:val="28"/>
          <w:lang w:eastAsia="ru-RU"/>
        </w:rPr>
        <w:t xml:space="preserve">7.1. Проведение совместных или параллельных контрольных и экспертно-аналитических мероприятий осуществляется в соответствии с общими положениями и требованиями к проведению контрольных и экспертно-аналитических мероприятий, определенными Регламентом </w:t>
      </w:r>
      <w:r w:rsidRPr="00E03664">
        <w:rPr>
          <w:sz w:val="28"/>
          <w:szCs w:val="28"/>
          <w:lang w:eastAsia="ru-RU"/>
        </w:rPr>
        <w:lastRenderedPageBreak/>
        <w:t xml:space="preserve">Счетной палаты, положениями о КСО МО и стандартами Счетной палаты и КСО МО. </w:t>
      </w:r>
    </w:p>
    <w:p w14:paraId="31142107" w14:textId="77777777" w:rsidR="00437784" w:rsidRPr="00E03664" w:rsidRDefault="00437784" w:rsidP="00437784">
      <w:pPr>
        <w:ind w:right="-1" w:firstLine="851"/>
        <w:jc w:val="both"/>
        <w:rPr>
          <w:sz w:val="28"/>
          <w:szCs w:val="28"/>
          <w:lang w:eastAsia="ru-RU"/>
        </w:rPr>
      </w:pPr>
      <w:r w:rsidRPr="00E03664">
        <w:rPr>
          <w:sz w:val="28"/>
          <w:szCs w:val="28"/>
          <w:lang w:eastAsia="ru-RU"/>
        </w:rPr>
        <w:t xml:space="preserve">7.2. При проведении совместного контрольного и экспертно-аналитического мероприятия по инициативе Счетной палаты руководство проведением мероприятия осуществляет аудитор Счетной палаты, ответственный за проведение данного совместного или параллельного контрольного и экспертно-аналитического мероприятия. При проведении совместного или параллельного контрольного и экспертно-аналитического мероприятия по инициативе КСО МО, руководитель мероприятия определяется по согласованию Сторон. При проведении совместного контрольного мероприятия контрольные действия проводятся как сформированной рабочей группой из представителей Сторон на каждом объекте контроля, так и рабочими группами каждой из Сторон на разных объектах контроля, что должно быть отражено в Единой программе совместного контрольного и экспертно-аналитического мероприятия. </w:t>
      </w:r>
    </w:p>
    <w:p w14:paraId="6C43CD33" w14:textId="77777777" w:rsidR="00437784" w:rsidRPr="00E03664" w:rsidRDefault="00437784" w:rsidP="00437784">
      <w:pPr>
        <w:ind w:right="-1" w:firstLine="851"/>
        <w:jc w:val="both"/>
        <w:rPr>
          <w:sz w:val="28"/>
          <w:szCs w:val="28"/>
          <w:lang w:eastAsia="ru-RU"/>
        </w:rPr>
      </w:pPr>
      <w:r w:rsidRPr="00E03664">
        <w:rPr>
          <w:sz w:val="28"/>
          <w:szCs w:val="28"/>
          <w:lang w:eastAsia="ru-RU"/>
        </w:rPr>
        <w:t>7.3. При проведении параллельного контрольного и экспертно-аналитического мероприятия руководство мероприятием осуществляется представителями каждой из Сторон самостоятельно.</w:t>
      </w:r>
    </w:p>
    <w:p w14:paraId="00241E8F" w14:textId="77777777" w:rsidR="00437784" w:rsidRPr="00E03664" w:rsidRDefault="00437784" w:rsidP="00437784">
      <w:pPr>
        <w:ind w:right="-1" w:firstLine="851"/>
        <w:jc w:val="both"/>
        <w:rPr>
          <w:sz w:val="28"/>
          <w:szCs w:val="28"/>
          <w:lang w:eastAsia="ru-RU"/>
        </w:rPr>
      </w:pPr>
      <w:r w:rsidRPr="00E03664">
        <w:rPr>
          <w:sz w:val="28"/>
          <w:szCs w:val="28"/>
          <w:lang w:eastAsia="ru-RU"/>
        </w:rPr>
        <w:t>7.4. В ходе проведения совместного или параллельного контрольного и экспертно-аналитического мероприятия Стороны осуществляют взаимодействие путем проведения рабочих совещаний и консультаций, обмена методическими документами и информацией, согласования методов проведения совместного мероприятия и в других формах.</w:t>
      </w:r>
    </w:p>
    <w:p w14:paraId="04B4FF56" w14:textId="77777777" w:rsidR="00437784" w:rsidRPr="00E03664" w:rsidRDefault="00437784" w:rsidP="00437784">
      <w:pPr>
        <w:ind w:right="-1" w:firstLine="851"/>
        <w:jc w:val="both"/>
        <w:rPr>
          <w:sz w:val="28"/>
          <w:szCs w:val="28"/>
          <w:lang w:eastAsia="ru-RU"/>
        </w:rPr>
      </w:pPr>
    </w:p>
    <w:p w14:paraId="2EB4403D" w14:textId="77777777" w:rsidR="00437784" w:rsidRPr="00E03664" w:rsidRDefault="00437784" w:rsidP="00437784">
      <w:pPr>
        <w:ind w:left="851" w:right="850"/>
        <w:jc w:val="center"/>
        <w:rPr>
          <w:b/>
          <w:bCs/>
          <w:sz w:val="28"/>
          <w:szCs w:val="28"/>
        </w:rPr>
      </w:pPr>
      <w:r w:rsidRPr="00E03664">
        <w:rPr>
          <w:b/>
          <w:bCs/>
          <w:sz w:val="28"/>
          <w:szCs w:val="28"/>
        </w:rPr>
        <w:t>8. Оформление результатов совместных или параллельных контрольных и экспертно-аналитических мероприятий</w:t>
      </w:r>
    </w:p>
    <w:p w14:paraId="54113CA3" w14:textId="77777777" w:rsidR="00437784" w:rsidRPr="00E03664" w:rsidRDefault="00437784" w:rsidP="00437784">
      <w:pPr>
        <w:ind w:right="-1" w:firstLine="851"/>
        <w:jc w:val="both"/>
        <w:rPr>
          <w:sz w:val="28"/>
          <w:szCs w:val="28"/>
        </w:rPr>
      </w:pPr>
      <w:r w:rsidRPr="00E03664">
        <w:rPr>
          <w:sz w:val="28"/>
          <w:szCs w:val="28"/>
        </w:rPr>
        <w:t xml:space="preserve">8.1. Результаты совместного контрольного мероприятия на объектах контроля оформляются актами в соответствии с требованиями стандарта </w:t>
      </w:r>
      <w:r w:rsidRPr="00E03664">
        <w:rPr>
          <w:sz w:val="28"/>
          <w:szCs w:val="28"/>
          <w:lang w:eastAsia="ru-RU"/>
        </w:rPr>
        <w:t>Контрольно-счетного органа</w:t>
      </w:r>
      <w:r w:rsidRPr="00E03664">
        <w:rPr>
          <w:sz w:val="28"/>
          <w:szCs w:val="28"/>
        </w:rPr>
        <w:t xml:space="preserve"> СВМФК 01. </w:t>
      </w:r>
    </w:p>
    <w:p w14:paraId="34501005" w14:textId="77777777" w:rsidR="00437784" w:rsidRPr="00E03664" w:rsidRDefault="00437784" w:rsidP="00437784">
      <w:pPr>
        <w:ind w:right="-1" w:firstLine="851"/>
        <w:jc w:val="both"/>
        <w:rPr>
          <w:sz w:val="28"/>
          <w:szCs w:val="28"/>
        </w:rPr>
      </w:pPr>
      <w:r w:rsidRPr="00E03664">
        <w:rPr>
          <w:sz w:val="28"/>
          <w:szCs w:val="28"/>
        </w:rPr>
        <w:t>В случае если совместное контрольное мероприятие на объекте проводилось рабочей группой из представителей Сторон, акт подписывается представителями участвующих Сторон. На объекте возможно составление нескольких актов, подписываемых рабочими группами из представителей Сторон.</w:t>
      </w:r>
    </w:p>
    <w:p w14:paraId="7E836708" w14:textId="77777777" w:rsidR="00437784" w:rsidRPr="00E03664" w:rsidRDefault="00437784" w:rsidP="00437784">
      <w:pPr>
        <w:ind w:right="-1" w:firstLine="851"/>
        <w:jc w:val="both"/>
        <w:rPr>
          <w:sz w:val="28"/>
          <w:szCs w:val="28"/>
        </w:rPr>
      </w:pPr>
      <w:r w:rsidRPr="00E03664">
        <w:rPr>
          <w:sz w:val="28"/>
          <w:szCs w:val="28"/>
        </w:rPr>
        <w:t xml:space="preserve">8.2. По результатам совместного контрольного мероприятия руководителем мероприятия подготавливается совместный отчет о результатах проведенного контрольного мероприятия, экспертно-аналитического мероприятия – совместный отчет или совместное заключение (далее – «отчет») о результатах проведенного совместного экспертно-аналитического мероприятия, в соответствии со стандартами Счетной палаты. Степень и форма участия представителей Счетной палаты, КСО МО в подготовке отчета и других документов, оформляемых по результатам совместного мероприятия, согласовывается между Сторонами, участвующими в его проведении и отражается в Решении. </w:t>
      </w:r>
    </w:p>
    <w:p w14:paraId="1214883C" w14:textId="77777777" w:rsidR="00437784" w:rsidRPr="00E03664" w:rsidRDefault="00437784" w:rsidP="00437784">
      <w:pPr>
        <w:ind w:right="-1" w:firstLine="851"/>
        <w:jc w:val="both"/>
        <w:rPr>
          <w:sz w:val="28"/>
          <w:szCs w:val="28"/>
        </w:rPr>
      </w:pPr>
      <w:r w:rsidRPr="00E03664">
        <w:rPr>
          <w:sz w:val="28"/>
          <w:szCs w:val="28"/>
        </w:rPr>
        <w:lastRenderedPageBreak/>
        <w:t>Отчет подписывается аудитором Счетной палаты и руководителем (руководителями) КСО МО.</w:t>
      </w:r>
    </w:p>
    <w:p w14:paraId="38BB0FAF" w14:textId="77777777" w:rsidR="00437784" w:rsidRPr="00E03664" w:rsidRDefault="00437784" w:rsidP="00437784">
      <w:pPr>
        <w:ind w:right="-1" w:firstLine="851"/>
        <w:jc w:val="both"/>
        <w:rPr>
          <w:sz w:val="28"/>
          <w:szCs w:val="28"/>
          <w:lang w:eastAsia="ru-RU"/>
        </w:rPr>
      </w:pPr>
      <w:r w:rsidRPr="00E03664">
        <w:rPr>
          <w:sz w:val="28"/>
          <w:szCs w:val="28"/>
          <w:lang w:eastAsia="ru-RU"/>
        </w:rPr>
        <w:t xml:space="preserve">8.3. При проведении параллельного контрольного и экспертно-аналитического мероприятия акты, заключения, отчеты составляются каждой Стороной самостоятельно. </w:t>
      </w:r>
    </w:p>
    <w:p w14:paraId="7B5574A7" w14:textId="77777777" w:rsidR="00437784" w:rsidRPr="00E03664" w:rsidRDefault="00437784" w:rsidP="00437784">
      <w:pPr>
        <w:ind w:right="-1" w:firstLine="851"/>
        <w:jc w:val="both"/>
        <w:rPr>
          <w:sz w:val="28"/>
          <w:szCs w:val="28"/>
          <w:lang w:eastAsia="ru-RU"/>
        </w:rPr>
      </w:pPr>
      <w:r w:rsidRPr="00E03664">
        <w:rPr>
          <w:sz w:val="28"/>
          <w:szCs w:val="28"/>
          <w:lang w:eastAsia="ru-RU"/>
        </w:rPr>
        <w:t xml:space="preserve">Отчет о результатах параллельного контрольного и экспертно-аналитического мероприятия Счетной палаты подписывается аудитором Счетной палаты. </w:t>
      </w:r>
    </w:p>
    <w:p w14:paraId="186920D5" w14:textId="77777777" w:rsidR="00437784" w:rsidRPr="00E03664" w:rsidRDefault="00437784" w:rsidP="00437784">
      <w:pPr>
        <w:ind w:right="-1" w:firstLine="851"/>
        <w:jc w:val="both"/>
        <w:rPr>
          <w:sz w:val="28"/>
          <w:szCs w:val="28"/>
          <w:lang w:eastAsia="ru-RU"/>
        </w:rPr>
      </w:pPr>
      <w:r w:rsidRPr="00E03664">
        <w:rPr>
          <w:sz w:val="28"/>
          <w:szCs w:val="28"/>
          <w:lang w:eastAsia="ru-RU"/>
        </w:rPr>
        <w:t>Срок обмена итоговыми документами Сторон, форма и их направление отражаются в Решении.</w:t>
      </w:r>
    </w:p>
    <w:p w14:paraId="141D5017" w14:textId="77777777" w:rsidR="00437784" w:rsidRPr="00E03664" w:rsidRDefault="00437784" w:rsidP="00437784">
      <w:pPr>
        <w:ind w:right="-1" w:firstLine="851"/>
        <w:jc w:val="both"/>
        <w:rPr>
          <w:sz w:val="28"/>
          <w:szCs w:val="28"/>
          <w:lang w:eastAsia="ru-RU"/>
        </w:rPr>
      </w:pPr>
      <w:r w:rsidRPr="00E03664">
        <w:rPr>
          <w:sz w:val="28"/>
          <w:szCs w:val="28"/>
          <w:lang w:eastAsia="ru-RU"/>
        </w:rPr>
        <w:t xml:space="preserve">8.4. При наличии соответствующих оснований по результатам совместных или параллельных контрольных мероприятий Сторонами могут подготавливаться представления, предписания, уведомления о применении бюджетных мер принуждения, информационные письма, по результатам совместных или параллельных экспертно-аналитических мероприятий могут подготавливаться информационные письма. </w:t>
      </w:r>
    </w:p>
    <w:p w14:paraId="43964B7C" w14:textId="77777777" w:rsidR="00437784" w:rsidRPr="00E03664" w:rsidRDefault="00437784" w:rsidP="00437784">
      <w:pPr>
        <w:ind w:right="-1" w:firstLine="851"/>
        <w:jc w:val="both"/>
        <w:rPr>
          <w:sz w:val="28"/>
          <w:szCs w:val="28"/>
          <w:lang w:eastAsia="ru-RU"/>
        </w:rPr>
      </w:pPr>
      <w:r w:rsidRPr="00E03664">
        <w:rPr>
          <w:sz w:val="28"/>
          <w:szCs w:val="28"/>
          <w:lang w:eastAsia="ru-RU"/>
        </w:rPr>
        <w:t xml:space="preserve">8.5. Отчет о результатах проведенного совместного или параллельного контрольного и экспертно-аналитического мероприятия, а также проекты представлений, предписаний, уведомлений о применении бюджетных мер принуждения вносятся на рассмотрение коллегии Счетной палаты. </w:t>
      </w:r>
    </w:p>
    <w:p w14:paraId="1CEB9C84" w14:textId="7C34D5AF" w:rsidR="00F44893" w:rsidRPr="00E03664" w:rsidRDefault="00437784" w:rsidP="00437784">
      <w:pPr>
        <w:ind w:right="-1" w:firstLine="851"/>
        <w:jc w:val="both"/>
      </w:pPr>
      <w:r w:rsidRPr="00E03664">
        <w:rPr>
          <w:sz w:val="28"/>
          <w:szCs w:val="28"/>
          <w:lang w:eastAsia="ru-RU"/>
        </w:rPr>
        <w:t>8.6. На заседание коллегии Счетной палаты при рассмотрении результатов совместного или параллельного контрольного и экспертно-аналитического мероприятия могут приглашаться должностные лица КСО МО, участвующие в данном мероприятии, представители объектов контроля.</w:t>
      </w:r>
    </w:p>
    <w:sectPr w:rsidR="00F44893" w:rsidRPr="00E03664" w:rsidSect="0043778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5D688" w14:textId="77777777" w:rsidR="00AE659E" w:rsidRDefault="00AE659E" w:rsidP="00437784">
      <w:r>
        <w:separator/>
      </w:r>
    </w:p>
  </w:endnote>
  <w:endnote w:type="continuationSeparator" w:id="0">
    <w:p w14:paraId="6D8DF2B5" w14:textId="77777777" w:rsidR="00AE659E" w:rsidRDefault="00AE659E" w:rsidP="0043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624E0" w14:textId="77777777" w:rsidR="00AE659E" w:rsidRDefault="00AE659E" w:rsidP="00437784">
      <w:r>
        <w:separator/>
      </w:r>
    </w:p>
  </w:footnote>
  <w:footnote w:type="continuationSeparator" w:id="0">
    <w:p w14:paraId="00E5C2B1" w14:textId="77777777" w:rsidR="00AE659E" w:rsidRDefault="00AE659E" w:rsidP="00437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0587233"/>
      <w:docPartObj>
        <w:docPartGallery w:val="Page Numbers (Top of Page)"/>
        <w:docPartUnique/>
      </w:docPartObj>
    </w:sdtPr>
    <w:sdtContent>
      <w:p w14:paraId="12011B68" w14:textId="43BAC2B6" w:rsidR="00437784" w:rsidRDefault="00437784">
        <w:pPr>
          <w:pStyle w:val="a3"/>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C3E20"/>
    <w:multiLevelType w:val="hybridMultilevel"/>
    <w:tmpl w:val="B37C330C"/>
    <w:lvl w:ilvl="0" w:tplc="A9B88A6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41F21A9"/>
    <w:multiLevelType w:val="hybridMultilevel"/>
    <w:tmpl w:val="C5EEEE24"/>
    <w:lvl w:ilvl="0" w:tplc="3C749822">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84"/>
    <w:rsid w:val="00362530"/>
    <w:rsid w:val="00437784"/>
    <w:rsid w:val="00903F6A"/>
    <w:rsid w:val="00AE659E"/>
    <w:rsid w:val="00E03664"/>
    <w:rsid w:val="00F44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B52A"/>
  <w15:chartTrackingRefBased/>
  <w15:docId w15:val="{8DE7A7DD-4A30-48CC-90A3-4D8C0A83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784"/>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784"/>
    <w:pPr>
      <w:tabs>
        <w:tab w:val="center" w:pos="4677"/>
        <w:tab w:val="right" w:pos="9355"/>
      </w:tabs>
    </w:pPr>
  </w:style>
  <w:style w:type="character" w:customStyle="1" w:styleId="a4">
    <w:name w:val="Верхний колонтитул Знак"/>
    <w:basedOn w:val="a0"/>
    <w:link w:val="a3"/>
    <w:uiPriority w:val="99"/>
    <w:rsid w:val="00437784"/>
    <w:rPr>
      <w:rFonts w:ascii="Times New Roman" w:eastAsia="Times New Roman" w:hAnsi="Times New Roman" w:cs="Times New Roman"/>
      <w:sz w:val="20"/>
      <w:szCs w:val="20"/>
      <w:lang w:eastAsia="ar-SA"/>
    </w:rPr>
  </w:style>
  <w:style w:type="paragraph" w:styleId="a5">
    <w:name w:val="footer"/>
    <w:basedOn w:val="a"/>
    <w:link w:val="a6"/>
    <w:uiPriority w:val="99"/>
    <w:unhideWhenUsed/>
    <w:rsid w:val="00437784"/>
    <w:pPr>
      <w:tabs>
        <w:tab w:val="center" w:pos="4677"/>
        <w:tab w:val="right" w:pos="9355"/>
      </w:tabs>
    </w:pPr>
  </w:style>
  <w:style w:type="character" w:customStyle="1" w:styleId="a6">
    <w:name w:val="Нижний колонтитул Знак"/>
    <w:basedOn w:val="a0"/>
    <w:link w:val="a5"/>
    <w:uiPriority w:val="99"/>
    <w:rsid w:val="00437784"/>
    <w:rPr>
      <w:rFonts w:ascii="Times New Roman" w:eastAsia="Times New Roman" w:hAnsi="Times New Roman" w:cs="Times New Roman"/>
      <w:sz w:val="20"/>
      <w:szCs w:val="20"/>
      <w:lang w:eastAsia="ar-SA"/>
    </w:rPr>
  </w:style>
  <w:style w:type="paragraph" w:styleId="a7">
    <w:name w:val="Balloon Text"/>
    <w:basedOn w:val="a"/>
    <w:link w:val="a8"/>
    <w:uiPriority w:val="99"/>
    <w:semiHidden/>
    <w:unhideWhenUsed/>
    <w:rsid w:val="00903F6A"/>
    <w:rPr>
      <w:rFonts w:ascii="Segoe UI" w:hAnsi="Segoe UI" w:cs="Segoe UI"/>
      <w:sz w:val="18"/>
      <w:szCs w:val="18"/>
    </w:rPr>
  </w:style>
  <w:style w:type="character" w:customStyle="1" w:styleId="a8">
    <w:name w:val="Текст выноски Знак"/>
    <w:basedOn w:val="a0"/>
    <w:link w:val="a7"/>
    <w:uiPriority w:val="99"/>
    <w:semiHidden/>
    <w:rsid w:val="00903F6A"/>
    <w:rPr>
      <w:rFonts w:ascii="Segoe UI" w:eastAsia="Times New Roman" w:hAnsi="Segoe UI" w:cs="Segoe UI"/>
      <w:sz w:val="18"/>
      <w:szCs w:val="18"/>
      <w:lang w:eastAsia="ar-SA"/>
    </w:rPr>
  </w:style>
  <w:style w:type="paragraph" w:styleId="a9">
    <w:name w:val="List Paragraph"/>
    <w:basedOn w:val="a"/>
    <w:uiPriority w:val="34"/>
    <w:qFormat/>
    <w:rsid w:val="00903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3158</Words>
  <Characters>18004</Characters>
  <Application>Microsoft Office Word</Application>
  <DocSecurity>0</DocSecurity>
  <Lines>150</Lines>
  <Paragraphs>42</Paragraphs>
  <ScaleCrop>false</ScaleCrop>
  <Company/>
  <LinksUpToDate>false</LinksUpToDate>
  <CharactersWithSpaces>21120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2023-12-27T01:34:00Z</cp:lastPrinted>
  <dcterms:created xsi:type="dcterms:W3CDTF">2023-12-27T01:31:00Z</dcterms:created>
  <dcterms:modified xsi:type="dcterms:W3CDTF">2023-12-27T01:36:00Z</dcterms:modified>
</cp:coreProperties>
</file>